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52769" w:rsidRDefault="00005C7D" w:rsidP="00005C7D">
      <w:pPr>
        <w:widowControl w:val="0"/>
        <w:tabs>
          <w:tab w:val="center" w:pos="4536"/>
          <w:tab w:val="right" w:pos="7938"/>
          <w:tab w:val="right" w:pos="9639"/>
        </w:tabs>
        <w:ind w:right="-58"/>
        <w:rPr>
          <w:rFonts w:eastAsia="MS Mincho"/>
          <w:b/>
          <w:bCs/>
          <w:noProof/>
          <w:sz w:val="28"/>
          <w:szCs w:val="28"/>
        </w:rPr>
      </w:pPr>
      <w:r w:rsidRPr="00252769">
        <w:rPr>
          <w:rFonts w:eastAsia="MS Mincho"/>
          <w:b/>
          <w:bCs/>
          <w:noProof/>
          <w:sz w:val="28"/>
          <w:szCs w:val="28"/>
        </w:rPr>
        <w:t>3GPP TSG RAN WG1 Meeting</w:t>
      </w:r>
      <w:r w:rsidR="00AE3EEE">
        <w:rPr>
          <w:rFonts w:eastAsia="MS Mincho"/>
          <w:b/>
          <w:bCs/>
          <w:noProof/>
          <w:sz w:val="28"/>
          <w:szCs w:val="28"/>
        </w:rPr>
        <w:t xml:space="preserve"> RAN1 #99      </w:t>
      </w:r>
      <w:r w:rsidR="00A4575C" w:rsidRPr="00252769">
        <w:rPr>
          <w:rFonts w:eastAsia="MS Mincho"/>
          <w:b/>
          <w:bCs/>
          <w:noProof/>
          <w:sz w:val="28"/>
          <w:szCs w:val="28"/>
        </w:rPr>
        <w:t xml:space="preserve">       </w:t>
      </w:r>
      <w:r w:rsidR="00300D87">
        <w:rPr>
          <w:rFonts w:eastAsia="MS Mincho"/>
          <w:b/>
          <w:bCs/>
          <w:noProof/>
          <w:sz w:val="28"/>
          <w:szCs w:val="28"/>
        </w:rPr>
        <w:t xml:space="preserve">     </w:t>
      </w:r>
      <w:r w:rsidRPr="00252769">
        <w:rPr>
          <w:rFonts w:eastAsia="MS Mincho"/>
          <w:b/>
          <w:bCs/>
          <w:noProof/>
          <w:sz w:val="28"/>
          <w:szCs w:val="28"/>
        </w:rPr>
        <w:t xml:space="preserve">                                           R1-</w:t>
      </w:r>
      <w:r w:rsidR="00AE3EEE">
        <w:rPr>
          <w:rFonts w:eastAsia="MS Mincho"/>
          <w:b/>
          <w:bCs/>
          <w:noProof/>
          <w:sz w:val="28"/>
          <w:szCs w:val="28"/>
        </w:rPr>
        <w:t>1912103</w:t>
      </w:r>
    </w:p>
    <w:p w:rsidR="00005C7D" w:rsidRPr="00252769" w:rsidRDefault="00AE3EEE" w:rsidP="00005C7D">
      <w:pPr>
        <w:widowControl w:val="0"/>
        <w:tabs>
          <w:tab w:val="center" w:pos="4536"/>
          <w:tab w:val="right" w:pos="8280"/>
          <w:tab w:val="right" w:pos="9781"/>
        </w:tabs>
        <w:ind w:right="-58"/>
        <w:rPr>
          <w:rFonts w:eastAsia="MS Mincho"/>
          <w:b/>
          <w:bCs/>
          <w:noProof/>
          <w:sz w:val="28"/>
          <w:szCs w:val="28"/>
          <w:lang w:eastAsia="en-US"/>
        </w:rPr>
      </w:pPr>
      <w:r>
        <w:rPr>
          <w:rFonts w:eastAsia="MS Mincho"/>
          <w:b/>
          <w:bCs/>
          <w:noProof/>
          <w:sz w:val="28"/>
          <w:szCs w:val="28"/>
          <w:lang w:eastAsia="en-US"/>
        </w:rPr>
        <w:t>Reno</w:t>
      </w:r>
      <w:r w:rsidRPr="00252769">
        <w:rPr>
          <w:rFonts w:eastAsia="MS Mincho"/>
          <w:b/>
          <w:bCs/>
          <w:noProof/>
          <w:sz w:val="28"/>
          <w:szCs w:val="28"/>
          <w:lang w:eastAsia="en-US"/>
        </w:rPr>
        <w:t xml:space="preserve">, </w:t>
      </w:r>
      <w:r>
        <w:rPr>
          <w:rFonts w:eastAsia="MS Mincho"/>
          <w:b/>
          <w:bCs/>
          <w:noProof/>
          <w:sz w:val="28"/>
          <w:szCs w:val="28"/>
          <w:lang w:eastAsia="en-US"/>
        </w:rPr>
        <w:t>U.S.A., November 18</w:t>
      </w:r>
      <w:r>
        <w:rPr>
          <w:rFonts w:eastAsia="MS Mincho"/>
          <w:b/>
          <w:bCs/>
          <w:noProof/>
          <w:sz w:val="28"/>
          <w:szCs w:val="28"/>
          <w:vertAlign w:val="superscript"/>
          <w:lang w:eastAsia="en-US"/>
        </w:rPr>
        <w:t>th</w:t>
      </w:r>
      <w:r>
        <w:rPr>
          <w:rFonts w:eastAsia="MS Mincho"/>
          <w:b/>
          <w:bCs/>
          <w:noProof/>
          <w:sz w:val="28"/>
          <w:szCs w:val="28"/>
          <w:lang w:eastAsia="en-US"/>
        </w:rPr>
        <w:t xml:space="preserve"> – 22</w:t>
      </w:r>
      <w:r w:rsidRPr="00252769">
        <w:rPr>
          <w:rFonts w:eastAsia="MS Mincho"/>
          <w:b/>
          <w:bCs/>
          <w:noProof/>
          <w:sz w:val="28"/>
          <w:szCs w:val="28"/>
          <w:vertAlign w:val="superscript"/>
          <w:lang w:eastAsia="en-US"/>
        </w:rPr>
        <w:t>th</w:t>
      </w:r>
      <w:r w:rsidRPr="00252769">
        <w:rPr>
          <w:rFonts w:eastAsia="MS Mincho"/>
          <w:b/>
          <w:bCs/>
          <w:noProof/>
          <w:sz w:val="28"/>
          <w:szCs w:val="28"/>
          <w:lang w:eastAsia="en-US"/>
        </w:rPr>
        <w:t>, 2019</w:t>
      </w:r>
    </w:p>
    <w:p w:rsidR="00005C7D" w:rsidRPr="00252769" w:rsidRDefault="00005C7D" w:rsidP="00005C7D">
      <w:pPr>
        <w:pStyle w:val="a6"/>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366005">
        <w:rPr>
          <w:rFonts w:eastAsia="MS Mincho"/>
          <w:b/>
          <w:bCs/>
          <w:noProof/>
          <w:sz w:val="28"/>
          <w:szCs w:val="28"/>
          <w:lang w:eastAsia="en-US"/>
        </w:rPr>
        <w:t>7.2.13.6</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366005" w:rsidRPr="00366005">
        <w:rPr>
          <w:rFonts w:eastAsia="MS Mincho"/>
          <w:b/>
          <w:bCs/>
          <w:noProof/>
          <w:sz w:val="28"/>
          <w:szCs w:val="28"/>
          <w:lang w:eastAsia="en-US"/>
        </w:rPr>
        <w:t>Remaining details on cross carrier scheduling</w:t>
      </w:r>
    </w:p>
    <w:p w:rsidR="00005C7D"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Document for: Discussion and Decision</w:t>
      </w:r>
    </w:p>
    <w:p w:rsidR="00B74586" w:rsidRDefault="00B74586" w:rsidP="00005C7D">
      <w:pPr>
        <w:widowControl w:val="0"/>
        <w:tabs>
          <w:tab w:val="center" w:pos="4536"/>
          <w:tab w:val="right" w:pos="8280"/>
          <w:tab w:val="right" w:pos="9781"/>
        </w:tabs>
        <w:ind w:right="-58"/>
        <w:rPr>
          <w:rFonts w:eastAsia="MS Mincho"/>
          <w:b/>
          <w:bCs/>
          <w:noProof/>
          <w:sz w:val="28"/>
          <w:szCs w:val="28"/>
          <w:lang w:eastAsia="en-US"/>
        </w:rPr>
      </w:pP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DA4FB3" w:rsidRDefault="00AE3EEE" w:rsidP="00BE7765">
      <w:r>
        <w:t>This tdoc focuses</w:t>
      </w:r>
      <w:r w:rsidR="00366005">
        <w:t xml:space="preserve"> on </w:t>
      </w:r>
      <w:r w:rsidR="00366005" w:rsidRPr="00366005">
        <w:t>remaining details on cross carrier scheduling</w:t>
      </w:r>
      <w:r w:rsidR="00DA4FB3">
        <w:t>.</w:t>
      </w:r>
    </w:p>
    <w:p w:rsidR="003F712E" w:rsidRDefault="003A1B1A" w:rsidP="000F1654">
      <w:pPr>
        <w:pStyle w:val="1"/>
        <w:rPr>
          <w:rFonts w:cs="Arial"/>
          <w:color w:val="000000" w:themeColor="text1"/>
        </w:rPr>
      </w:pPr>
      <w:r>
        <w:rPr>
          <w:rFonts w:cs="Arial"/>
          <w:color w:val="000000" w:themeColor="text1"/>
        </w:rPr>
        <w:t>2</w:t>
      </w:r>
      <w:r w:rsidRPr="001F61A8">
        <w:rPr>
          <w:rFonts w:cs="Arial"/>
          <w:color w:val="000000" w:themeColor="text1"/>
        </w:rPr>
        <w:tab/>
      </w:r>
      <w:r w:rsidR="00366005">
        <w:rPr>
          <w:rFonts w:cs="Arial"/>
          <w:color w:val="000000" w:themeColor="text1"/>
        </w:rPr>
        <w:t>N</w:t>
      </w:r>
      <w:r w:rsidR="00366005" w:rsidRPr="00366005">
        <w:rPr>
          <w:rFonts w:cs="Arial"/>
          <w:color w:val="000000" w:themeColor="text1"/>
        </w:rPr>
        <w:t>umber of valid DCI</w:t>
      </w:r>
      <w:r w:rsidR="00366005">
        <w:rPr>
          <w:rFonts w:cs="Arial"/>
          <w:color w:val="000000" w:themeColor="text1"/>
        </w:rPr>
        <w:t xml:space="preserve">s per monitoring occasion </w:t>
      </w:r>
      <w:r w:rsidR="00366005" w:rsidRPr="00366005">
        <w:rPr>
          <w:rFonts w:cs="Arial"/>
          <w:color w:val="000000" w:themeColor="text1"/>
        </w:rPr>
        <w:t>per scheduled cell</w:t>
      </w:r>
    </w:p>
    <w:p w:rsidR="0009037A" w:rsidRDefault="0009037A" w:rsidP="0009037A">
      <w:r>
        <w:rPr>
          <w:rFonts w:ascii="Times" w:eastAsiaTheme="minorEastAsia" w:hAnsi="Times" w:hint="eastAsia"/>
        </w:rPr>
        <w:t xml:space="preserve">With Rel-15 UE capability </w:t>
      </w:r>
      <w:r>
        <w:t>FG 3-5b:</w:t>
      </w:r>
    </w:p>
    <w:p w:rsidR="00A95AA2" w:rsidRDefault="00A95AA2" w:rsidP="0009037A">
      <w:r>
        <w:rPr>
          <w:noProof/>
        </w:rPr>
        <w:drawing>
          <wp:inline distT="0" distB="0" distL="0" distR="0" wp14:anchorId="4076BDD4" wp14:editId="4E47117E">
            <wp:extent cx="6858000" cy="1558925"/>
            <wp:effectExtent l="0" t="0" r="0" b="317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58000" cy="1558925"/>
                    </a:xfrm>
                    <a:prstGeom prst="rect">
                      <a:avLst/>
                    </a:prstGeom>
                  </pic:spPr>
                </pic:pic>
              </a:graphicData>
            </a:graphic>
          </wp:inline>
        </w:drawing>
      </w:r>
    </w:p>
    <w:p w:rsidR="0009037A" w:rsidRPr="0006081C" w:rsidRDefault="0009037A" w:rsidP="0009037A">
      <w:pPr>
        <w:pBdr>
          <w:top w:val="single" w:sz="4" w:space="1" w:color="auto"/>
          <w:left w:val="single" w:sz="4" w:space="4" w:color="auto"/>
          <w:bottom w:val="single" w:sz="4" w:space="1" w:color="auto"/>
          <w:right w:val="single" w:sz="4" w:space="4" w:color="auto"/>
        </w:pBdr>
        <w:rPr>
          <w:i/>
        </w:rPr>
      </w:pPr>
      <w:r>
        <w:t xml:space="preserve"> “</w:t>
      </w:r>
      <w:r w:rsidRPr="0006081C">
        <w:rPr>
          <w:i/>
        </w:rPr>
        <w:t>For the set of monitoring occasions which are within the same span:</w:t>
      </w:r>
    </w:p>
    <w:p w:rsidR="0009037A" w:rsidRPr="0006081C" w:rsidRDefault="0009037A" w:rsidP="0009037A">
      <w:pPr>
        <w:pStyle w:val="a4"/>
        <w:widowControl w:val="0"/>
        <w:numPr>
          <w:ilvl w:val="0"/>
          <w:numId w:val="18"/>
        </w:numPr>
        <w:pBdr>
          <w:top w:val="single" w:sz="4" w:space="1" w:color="auto"/>
          <w:left w:val="single" w:sz="4" w:space="4" w:color="auto"/>
          <w:bottom w:val="single" w:sz="4" w:space="1" w:color="auto"/>
          <w:right w:val="single" w:sz="4" w:space="4" w:color="auto"/>
        </w:pBdr>
        <w:snapToGrid w:val="0"/>
        <w:contextualSpacing w:val="0"/>
        <w:jc w:val="both"/>
        <w:rPr>
          <w:i/>
        </w:rPr>
      </w:pPr>
      <w:r w:rsidRPr="0006081C">
        <w:rPr>
          <w:i/>
        </w:rPr>
        <w:t>Processing one unicast DCI scheduling DL and one unicast DCI scheduling UL per scheduled CC across this set of monitoring occasions for FDD</w:t>
      </w:r>
    </w:p>
    <w:p w:rsidR="0009037A" w:rsidRPr="0006081C" w:rsidRDefault="0009037A" w:rsidP="0009037A">
      <w:pPr>
        <w:pStyle w:val="a4"/>
        <w:widowControl w:val="0"/>
        <w:numPr>
          <w:ilvl w:val="0"/>
          <w:numId w:val="18"/>
        </w:numPr>
        <w:pBdr>
          <w:top w:val="single" w:sz="4" w:space="1" w:color="auto"/>
          <w:left w:val="single" w:sz="4" w:space="4" w:color="auto"/>
          <w:bottom w:val="single" w:sz="4" w:space="1" w:color="auto"/>
          <w:right w:val="single" w:sz="4" w:space="4" w:color="auto"/>
        </w:pBdr>
        <w:snapToGrid w:val="0"/>
        <w:contextualSpacing w:val="0"/>
        <w:jc w:val="both"/>
        <w:rPr>
          <w:i/>
        </w:rPr>
      </w:pPr>
      <w:r w:rsidRPr="0006081C">
        <w:rPr>
          <w:i/>
        </w:rPr>
        <w:t>Processing one unicast DCI scheduling DL and two unicast DCI scheduling UL per scheduled CC across this set of monitoring occasions for TDD</w:t>
      </w:r>
    </w:p>
    <w:p w:rsidR="0009037A" w:rsidRPr="0009037A" w:rsidRDefault="0009037A" w:rsidP="00FC242C">
      <w:pPr>
        <w:pStyle w:val="a4"/>
        <w:widowControl w:val="0"/>
        <w:numPr>
          <w:ilvl w:val="0"/>
          <w:numId w:val="18"/>
        </w:numPr>
        <w:pBdr>
          <w:top w:val="single" w:sz="4" w:space="1" w:color="auto"/>
          <w:left w:val="single" w:sz="4" w:space="4" w:color="auto"/>
          <w:bottom w:val="single" w:sz="4" w:space="1" w:color="auto"/>
          <w:right w:val="single" w:sz="4" w:space="4" w:color="auto"/>
        </w:pBdr>
        <w:snapToGrid w:val="0"/>
        <w:contextualSpacing w:val="0"/>
        <w:jc w:val="both"/>
        <w:rPr>
          <w:i/>
        </w:rPr>
      </w:pPr>
      <w:r w:rsidRPr="0006081C">
        <w:rPr>
          <w:i/>
        </w:rPr>
        <w:t>Processing two unicast DCI scheduling DL and one unicast DCI scheduling UL per scheduled CC across this set of monitoring occasions for TDD</w:t>
      </w:r>
      <w:r w:rsidRPr="004A3335">
        <w:rPr>
          <w:i/>
        </w:rPr>
        <w:t>”</w:t>
      </w:r>
    </w:p>
    <w:p w:rsidR="00A95AA2" w:rsidRDefault="00A95AA2" w:rsidP="00FC242C">
      <w:pPr>
        <w:rPr>
          <w:rFonts w:ascii="Times" w:eastAsia="Batang" w:hAnsi="Times"/>
        </w:rPr>
      </w:pPr>
    </w:p>
    <w:p w:rsidR="00FC242C" w:rsidRPr="00381206" w:rsidRDefault="0009037A" w:rsidP="00FC242C">
      <w:r>
        <w:rPr>
          <w:rFonts w:ascii="Times" w:eastAsia="Batang" w:hAnsi="Times"/>
        </w:rPr>
        <w:t>The FG</w:t>
      </w:r>
      <w:r w:rsidR="00FC242C">
        <w:rPr>
          <w:rFonts w:ascii="Times" w:eastAsia="Batang" w:hAnsi="Times"/>
        </w:rPr>
        <w:t xml:space="preserve"> defined t</w:t>
      </w:r>
      <w:r w:rsidR="00FC242C">
        <w:t>he maximum number of unicast DCIs in terms of “span”, and it would be convenient to follow FG 3-5b for cross carrier schedul</w:t>
      </w:r>
      <w:r>
        <w:t>ing. Besides, as mentioned in [1</w:t>
      </w:r>
      <w:r w:rsidR="00FC242C">
        <w:t>], t</w:t>
      </w:r>
      <w:r w:rsidR="00FC242C" w:rsidRPr="003B6322">
        <w:t>he rule of FG 3-5b</w:t>
      </w:r>
      <w:r w:rsidR="00FC242C">
        <w:t xml:space="preserve"> already</w:t>
      </w:r>
      <w:r w:rsidR="00FC242C" w:rsidRPr="003B6322">
        <w:t xml:space="preserve"> can support multiple DCIs in one slot of lower SCS PDCCH scheduling multiple slots of a higher SCS PDSCH/PUSCH</w:t>
      </w:r>
      <w:r w:rsidR="00A95AA2">
        <w:t>. Furthermore, t</w:t>
      </w:r>
      <w:r w:rsidR="00FC242C">
        <w:t>he maximum DL data rate of 15 kHz</w:t>
      </w:r>
      <w:r w:rsidR="00FC242C" w:rsidRPr="00EF2244">
        <w:t xml:space="preserve"> </w:t>
      </w:r>
      <w:r w:rsidR="00FC242C">
        <w:t xml:space="preserve">SCS </w:t>
      </w:r>
      <w:r w:rsidR="00FC242C" w:rsidRPr="00EF2244">
        <w:t xml:space="preserve">PDCCH scheduling </w:t>
      </w:r>
      <w:r w:rsidR="00FC242C">
        <w:t>120 kHz</w:t>
      </w:r>
      <w:r w:rsidR="00FC242C" w:rsidRPr="00EF2244">
        <w:t xml:space="preserve"> SCS PDSCH</w:t>
      </w:r>
      <w:r w:rsidR="00FC242C">
        <w:t xml:space="preserve"> is achievable with FG 3-5b (2,2) as show</w:t>
      </w:r>
      <w:r w:rsidR="00A95AA2">
        <w:t>n in Figure 1</w:t>
      </w:r>
      <w:r>
        <w:t xml:space="preserve"> [1]</w:t>
      </w:r>
      <w:r w:rsidR="00A95AA2">
        <w:t xml:space="preserve"> (assuming</w:t>
      </w:r>
      <w:r w:rsidR="00FC242C">
        <w:t xml:space="preserve"> UE supports </w:t>
      </w:r>
      <w:r w:rsidR="00FC242C" w:rsidRPr="003B6322">
        <w:t>two</w:t>
      </w:r>
      <w:r w:rsidR="00FC242C">
        <w:t xml:space="preserve"> unicast DL DCI per PDCCH span for one scheduled cell as defined in FG 3-5b). </w:t>
      </w:r>
    </w:p>
    <w:p w:rsidR="0009037A" w:rsidRDefault="0009037A" w:rsidP="00FC242C">
      <w:pPr>
        <w:rPr>
          <w:rFonts w:ascii="Times" w:eastAsia="Batang" w:hAnsi="Times"/>
        </w:rPr>
      </w:pPr>
      <w:r w:rsidRPr="00AC4FE8">
        <w:rPr>
          <w:noProof/>
        </w:rPr>
        <w:drawing>
          <wp:inline distT="0" distB="0" distL="0" distR="0" wp14:anchorId="70F669A3" wp14:editId="383F7A71">
            <wp:extent cx="6742474" cy="115225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62949" cy="1155749"/>
                    </a:xfrm>
                    <a:prstGeom prst="rect">
                      <a:avLst/>
                    </a:prstGeom>
                    <a:noFill/>
                    <a:ln>
                      <a:noFill/>
                    </a:ln>
                  </pic:spPr>
                </pic:pic>
              </a:graphicData>
            </a:graphic>
          </wp:inline>
        </w:drawing>
      </w:r>
    </w:p>
    <w:p w:rsidR="00FC242C" w:rsidRDefault="0009037A" w:rsidP="0009037A">
      <w:pPr>
        <w:jc w:val="center"/>
        <w:rPr>
          <w:b/>
          <w:sz w:val="22"/>
        </w:rPr>
      </w:pPr>
      <w:bookmarkStart w:id="0" w:name="_Ref15312904"/>
      <w:r w:rsidRPr="0009037A">
        <w:rPr>
          <w:b/>
          <w:sz w:val="22"/>
        </w:rPr>
        <w:t xml:space="preserve">Figure </w:t>
      </w:r>
      <w:bookmarkEnd w:id="0"/>
      <w:r w:rsidRPr="0009037A">
        <w:rPr>
          <w:b/>
          <w:sz w:val="22"/>
        </w:rPr>
        <w:t>1. 15 kHz SCS PDCCH scheduling 120 kHz SCS PDSCH/PUSCH with FG 3-5b {(2,2)}</w:t>
      </w:r>
      <w:r w:rsidR="001D6819">
        <w:rPr>
          <w:b/>
          <w:sz w:val="22"/>
        </w:rPr>
        <w:t xml:space="preserve"> [1]</w:t>
      </w:r>
    </w:p>
    <w:p w:rsidR="00AE3EEE" w:rsidRDefault="00AE3EEE" w:rsidP="0009037A">
      <w:pPr>
        <w:jc w:val="center"/>
        <w:rPr>
          <w:b/>
          <w:sz w:val="22"/>
        </w:rPr>
      </w:pPr>
    </w:p>
    <w:p w:rsidR="00AE3EEE" w:rsidRPr="00AE3EEE" w:rsidRDefault="00AE3EEE" w:rsidP="00AE3EEE">
      <w:r w:rsidRPr="00AE3EEE">
        <w:lastRenderedPageBreak/>
        <w:t xml:space="preserve">Besides, </w:t>
      </w:r>
      <w:r>
        <w:t xml:space="preserve">for the most typical 30kHz scheduling 120kHz </w:t>
      </w:r>
      <w:r w:rsidR="00957F1B">
        <w:t>case, the maximum DL data rate of 30 kHz</w:t>
      </w:r>
      <w:r w:rsidR="00957F1B" w:rsidRPr="00EF2244">
        <w:t xml:space="preserve"> </w:t>
      </w:r>
      <w:r w:rsidR="00957F1B">
        <w:t xml:space="preserve">SCS </w:t>
      </w:r>
      <w:r w:rsidR="00957F1B" w:rsidRPr="00EF2244">
        <w:t xml:space="preserve">PDCCH scheduling </w:t>
      </w:r>
      <w:r w:rsidR="00957F1B">
        <w:t>120 kHz</w:t>
      </w:r>
      <w:r w:rsidR="00957F1B" w:rsidRPr="00EF2244">
        <w:t xml:space="preserve"> SCS PDSCH</w:t>
      </w:r>
      <w:r w:rsidR="00957F1B">
        <w:t xml:space="preserve"> is achievable with FG 3-5b (7,3) as shown in Figure 2 (assuming UE supports </w:t>
      </w:r>
      <w:r w:rsidR="00957F1B" w:rsidRPr="003B6322">
        <w:t>two</w:t>
      </w:r>
      <w:r w:rsidR="00957F1B">
        <w:t xml:space="preserve"> unicast DL DCI per PDCCH span for one scheduled cell as defined in FG 3-5b):</w:t>
      </w:r>
    </w:p>
    <w:p w:rsidR="00601DD9" w:rsidRDefault="00AE3EEE" w:rsidP="00AE3EEE">
      <w:pPr>
        <w:spacing w:before="120"/>
        <w:jc w:val="center"/>
        <w:rPr>
          <w:b/>
          <w:u w:val="single"/>
        </w:rPr>
      </w:pPr>
      <w:r>
        <w:rPr>
          <w:noProof/>
        </w:rPr>
        <w:drawing>
          <wp:inline distT="0" distB="0" distL="0" distR="0" wp14:anchorId="54C52B16" wp14:editId="494A57E3">
            <wp:extent cx="4562475" cy="1716842"/>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84785" cy="1725237"/>
                    </a:xfrm>
                    <a:prstGeom prst="rect">
                      <a:avLst/>
                    </a:prstGeom>
                  </pic:spPr>
                </pic:pic>
              </a:graphicData>
            </a:graphic>
          </wp:inline>
        </w:drawing>
      </w:r>
    </w:p>
    <w:p w:rsidR="00AE3EEE" w:rsidRPr="0009037A" w:rsidRDefault="00AE3EEE" w:rsidP="00AE3EEE">
      <w:pPr>
        <w:jc w:val="center"/>
        <w:rPr>
          <w:b/>
          <w:sz w:val="36"/>
        </w:rPr>
      </w:pPr>
      <w:r>
        <w:rPr>
          <w:b/>
          <w:sz w:val="22"/>
        </w:rPr>
        <w:t>Figure 2. 30</w:t>
      </w:r>
      <w:r w:rsidRPr="0009037A">
        <w:rPr>
          <w:b/>
          <w:sz w:val="22"/>
        </w:rPr>
        <w:t xml:space="preserve"> kHz SCS PDCCH scheduling 120 kHz </w:t>
      </w:r>
      <w:r>
        <w:rPr>
          <w:b/>
          <w:sz w:val="22"/>
        </w:rPr>
        <w:t>SCS PDSCH/PUSCH with FG 3-5b {(7,3</w:t>
      </w:r>
      <w:r w:rsidRPr="0009037A">
        <w:rPr>
          <w:b/>
          <w:sz w:val="22"/>
        </w:rPr>
        <w:t>)}</w:t>
      </w:r>
    </w:p>
    <w:p w:rsidR="00AE3EEE" w:rsidRDefault="00AE3EEE" w:rsidP="009120A3">
      <w:pPr>
        <w:spacing w:before="120"/>
        <w:rPr>
          <w:b/>
          <w:u w:val="single"/>
        </w:rPr>
      </w:pPr>
      <w:r>
        <w:rPr>
          <w:rFonts w:ascii="Times" w:eastAsia="Batang" w:hAnsi="Times"/>
        </w:rPr>
        <w:t xml:space="preserve">Hence, there seems no reason to define new rules on top of </w:t>
      </w:r>
      <w:r>
        <w:t>FG 3-5b</w:t>
      </w:r>
      <w:r>
        <w:rPr>
          <w:rFonts w:ascii="Times" w:eastAsia="Batang" w:hAnsi="Times"/>
        </w:rPr>
        <w:t xml:space="preserve"> </w:t>
      </w:r>
      <w:r w:rsidRPr="00381206">
        <w:t>or increase the number of valid DCIs per monitoring occasion to per scheduled cell</w:t>
      </w:r>
      <w:r>
        <w:t>.</w:t>
      </w:r>
    </w:p>
    <w:p w:rsidR="001D6819" w:rsidRDefault="00A95AA2" w:rsidP="009120A3">
      <w:pPr>
        <w:spacing w:before="120"/>
        <w:rPr>
          <w:b/>
        </w:rPr>
      </w:pPr>
      <w:r>
        <w:rPr>
          <w:b/>
          <w:u w:val="single"/>
        </w:rPr>
        <w:t xml:space="preserve">Observation </w:t>
      </w:r>
      <w:r w:rsidRPr="00A95AA2">
        <w:rPr>
          <w:b/>
          <w:u w:val="single"/>
        </w:rPr>
        <w:t>1:</w:t>
      </w:r>
      <w:r w:rsidRPr="00A95AA2">
        <w:rPr>
          <w:b/>
        </w:rPr>
        <w:t xml:space="preserve"> The maximum DL data rate of 15 kHz SCS PDCCH scheduling 120 kHz SCS PDSCH is achievable with FG 3-5b </w:t>
      </w:r>
      <w:r w:rsidR="00957F1B">
        <w:rPr>
          <w:b/>
        </w:rPr>
        <w:t>{</w:t>
      </w:r>
      <w:r w:rsidRPr="00A95AA2">
        <w:rPr>
          <w:b/>
        </w:rPr>
        <w:t>(2,2)</w:t>
      </w:r>
      <w:r w:rsidR="00957F1B">
        <w:rPr>
          <w:b/>
        </w:rPr>
        <w:t>}</w:t>
      </w:r>
      <w:r w:rsidRPr="00A95AA2">
        <w:rPr>
          <w:b/>
        </w:rPr>
        <w:t>.</w:t>
      </w:r>
      <w:r w:rsidR="00957F1B">
        <w:rPr>
          <w:b/>
        </w:rPr>
        <w:t xml:space="preserve"> The maximum DL data rate of 30</w:t>
      </w:r>
      <w:r w:rsidR="00957F1B" w:rsidRPr="00A95AA2">
        <w:rPr>
          <w:b/>
        </w:rPr>
        <w:t xml:space="preserve"> kHz SCS PDCCH scheduling 120 kHz SCS PDS</w:t>
      </w:r>
      <w:r w:rsidR="00957F1B">
        <w:rPr>
          <w:b/>
        </w:rPr>
        <w:t>CH is achievable with FG 3-5b {(7,3</w:t>
      </w:r>
      <w:r w:rsidR="00957F1B" w:rsidRPr="00A95AA2">
        <w:rPr>
          <w:b/>
        </w:rPr>
        <w:t>)</w:t>
      </w:r>
      <w:r w:rsidR="00957F1B">
        <w:rPr>
          <w:b/>
        </w:rPr>
        <w:t>}</w:t>
      </w:r>
      <w:r w:rsidR="00957F1B" w:rsidRPr="00A95AA2">
        <w:rPr>
          <w:b/>
        </w:rPr>
        <w:t>.</w:t>
      </w:r>
    </w:p>
    <w:p w:rsidR="00A95AA2" w:rsidRDefault="00A95AA2" w:rsidP="009120A3">
      <w:pPr>
        <w:spacing w:before="120"/>
        <w:rPr>
          <w:b/>
        </w:rPr>
      </w:pPr>
    </w:p>
    <w:p w:rsidR="00366005" w:rsidRPr="00FC242C" w:rsidRDefault="00A95AA2" w:rsidP="009120A3">
      <w:pPr>
        <w:spacing w:before="120"/>
        <w:rPr>
          <w:b/>
        </w:rPr>
      </w:pPr>
      <w:r w:rsidRPr="00FC242C">
        <w:rPr>
          <w:b/>
          <w:u w:val="single"/>
        </w:rPr>
        <w:t>Proposal</w:t>
      </w:r>
      <w:r>
        <w:rPr>
          <w:b/>
          <w:u w:val="single"/>
        </w:rPr>
        <w:t xml:space="preserve"> 1</w:t>
      </w:r>
      <w:r w:rsidRPr="00FC242C">
        <w:rPr>
          <w:b/>
          <w:u w:val="single"/>
        </w:rPr>
        <w:t>:</w:t>
      </w:r>
      <w:r w:rsidRPr="00FC242C">
        <w:rPr>
          <w:b/>
        </w:rPr>
        <w:t xml:space="preserve"> </w:t>
      </w:r>
      <w:r>
        <w:rPr>
          <w:b/>
        </w:rPr>
        <w:t xml:space="preserve">Do not </w:t>
      </w:r>
      <w:r w:rsidRPr="00A95AA2">
        <w:rPr>
          <w:b/>
        </w:rPr>
        <w:t>define new rules on top of FG 3-5b or increase the number of valid DCIs per monitoring occasion to per scheduled cell</w:t>
      </w:r>
      <w:r w:rsidR="00601DD9">
        <w:rPr>
          <w:b/>
        </w:rPr>
        <w:t xml:space="preserve"> for cross carrier scheduling with different numerology</w:t>
      </w:r>
      <w:r w:rsidRPr="00A95AA2">
        <w:rPr>
          <w:b/>
        </w:rPr>
        <w:t>.</w:t>
      </w:r>
    </w:p>
    <w:p w:rsidR="00366005" w:rsidRDefault="00AE3EEE" w:rsidP="00567515">
      <w:pPr>
        <w:pStyle w:val="1"/>
        <w:rPr>
          <w:rFonts w:cs="Arial"/>
          <w:color w:val="000000" w:themeColor="text1"/>
        </w:rPr>
      </w:pPr>
      <w:r>
        <w:rPr>
          <w:rFonts w:cs="Arial"/>
          <w:color w:val="000000" w:themeColor="text1"/>
        </w:rPr>
        <w:t>3</w:t>
      </w:r>
      <w:r w:rsidR="00366005" w:rsidRPr="001F61A8">
        <w:rPr>
          <w:rFonts w:cs="Arial"/>
          <w:color w:val="000000" w:themeColor="text1"/>
        </w:rPr>
        <w:tab/>
      </w:r>
      <w:r w:rsidR="00567515">
        <w:rPr>
          <w:rFonts w:cs="Arial"/>
          <w:color w:val="000000" w:themeColor="text1"/>
          <w:lang w:val="en-US"/>
        </w:rPr>
        <w:t xml:space="preserve">SPS PDSCH release </w:t>
      </w:r>
      <w:r w:rsidR="00880CCA">
        <w:rPr>
          <w:rFonts w:cs="Arial"/>
          <w:color w:val="000000" w:themeColor="text1"/>
          <w:lang w:val="en-US"/>
        </w:rPr>
        <w:t xml:space="preserve">HARQ-ACK reporting </w:t>
      </w:r>
      <w:r w:rsidR="00567515">
        <w:rPr>
          <w:rFonts w:cs="Arial"/>
          <w:color w:val="000000" w:themeColor="text1"/>
          <w:lang w:val="en-US"/>
        </w:rPr>
        <w:t>in case of different PDSCH/PDCCH/PUCCH numerologies</w:t>
      </w:r>
    </w:p>
    <w:p w:rsidR="00DD5197" w:rsidRPr="00DD5197" w:rsidRDefault="00DD5197" w:rsidP="002C26BD">
      <w:pPr>
        <w:spacing w:before="120" w:after="120"/>
        <w:rPr>
          <w:szCs w:val="32"/>
          <w:lang w:val="en-GB"/>
        </w:rPr>
      </w:pPr>
      <w:r>
        <w:rPr>
          <w:szCs w:val="32"/>
          <w:lang w:val="en-GB"/>
        </w:rPr>
        <w:t xml:space="preserve">In </w:t>
      </w:r>
      <w:r w:rsidR="00D212AE">
        <w:rPr>
          <w:szCs w:val="32"/>
          <w:lang w:val="en-GB"/>
        </w:rPr>
        <w:t>R</w:t>
      </w:r>
      <w:r>
        <w:rPr>
          <w:szCs w:val="32"/>
          <w:lang w:val="en-GB"/>
        </w:rPr>
        <w:t xml:space="preserve">15, </w:t>
      </w:r>
      <w:r>
        <w:rPr>
          <w:szCs w:val="32"/>
        </w:rPr>
        <w:t>f</w:t>
      </w:r>
      <w:r w:rsidR="002D4385">
        <w:rPr>
          <w:szCs w:val="32"/>
        </w:rPr>
        <w:t xml:space="preserve">or SPS </w:t>
      </w:r>
      <w:r w:rsidR="00F208F1">
        <w:rPr>
          <w:szCs w:val="32"/>
        </w:rPr>
        <w:t xml:space="preserve">PDSCH </w:t>
      </w:r>
      <w:r w:rsidR="002D4385">
        <w:rPr>
          <w:szCs w:val="32"/>
        </w:rPr>
        <w:t xml:space="preserve">release </w:t>
      </w:r>
      <w:r w:rsidR="00422EC9">
        <w:rPr>
          <w:szCs w:val="32"/>
        </w:rPr>
        <w:t>HARQ-</w:t>
      </w:r>
      <w:r>
        <w:rPr>
          <w:szCs w:val="32"/>
        </w:rPr>
        <w:t xml:space="preserve">ACK </w:t>
      </w:r>
      <w:r w:rsidR="002D4385">
        <w:rPr>
          <w:szCs w:val="32"/>
        </w:rPr>
        <w:t>reporting</w:t>
      </w:r>
      <w:r w:rsidR="00D212AE">
        <w:rPr>
          <w:szCs w:val="32"/>
        </w:rPr>
        <w:t xml:space="preserve"> in HARQ-ACK </w:t>
      </w:r>
      <w:r w:rsidR="0089056E">
        <w:rPr>
          <w:szCs w:val="32"/>
        </w:rPr>
        <w:t xml:space="preserve">Type-1 </w:t>
      </w:r>
      <w:r w:rsidR="00D212AE">
        <w:rPr>
          <w:szCs w:val="32"/>
        </w:rPr>
        <w:t>codebook</w:t>
      </w:r>
      <w:r>
        <w:rPr>
          <w:szCs w:val="32"/>
        </w:rPr>
        <w:t>,</w:t>
      </w:r>
      <w:r w:rsidR="002D4385">
        <w:rPr>
          <w:szCs w:val="32"/>
        </w:rPr>
        <w:t xml:space="preserve"> the PDSCH-to-HARQ-timing-indicator is counted from the slot containing PDCCH with the SPS </w:t>
      </w:r>
      <w:r w:rsidR="00F208F1">
        <w:rPr>
          <w:szCs w:val="32"/>
        </w:rPr>
        <w:t xml:space="preserve">PDSCH </w:t>
      </w:r>
      <w:r w:rsidR="002D4385">
        <w:rPr>
          <w:szCs w:val="32"/>
        </w:rPr>
        <w:t>release control information, using an</w:t>
      </w:r>
      <w:r>
        <w:rPr>
          <w:szCs w:val="32"/>
        </w:rPr>
        <w:t xml:space="preserve"> </w:t>
      </w:r>
      <w:r w:rsidR="002D4385">
        <w:rPr>
          <w:szCs w:val="32"/>
        </w:rPr>
        <w:t>implicit assumption that the PDSCH and PDCCH</w:t>
      </w:r>
      <w:r>
        <w:rPr>
          <w:szCs w:val="32"/>
        </w:rPr>
        <w:t xml:space="preserve"> numerology is the same. However, the details on how to determine the timing remains unclear when PDSCH and PDCCH numerologies are different.</w:t>
      </w:r>
    </w:p>
    <w:p w:rsidR="00D212AE" w:rsidRDefault="00D212AE" w:rsidP="002D4385">
      <w:pPr>
        <w:spacing w:before="120" w:after="120"/>
        <w:rPr>
          <w:szCs w:val="32"/>
        </w:rPr>
      </w:pPr>
      <w:r w:rsidRPr="00D212AE">
        <w:rPr>
          <w:noProof/>
          <w:szCs w:val="32"/>
        </w:rPr>
        <mc:AlternateContent>
          <mc:Choice Requires="wps">
            <w:drawing>
              <wp:anchor distT="45720" distB="45720" distL="114300" distR="114300" simplePos="0" relativeHeight="251659264" behindDoc="0" locked="0" layoutInCell="1" allowOverlap="1" wp14:anchorId="39B5EDBB" wp14:editId="136DFB2C">
                <wp:simplePos x="0" y="0"/>
                <wp:positionH relativeFrom="margin">
                  <wp:align>left</wp:align>
                </wp:positionH>
                <wp:positionV relativeFrom="paragraph">
                  <wp:posOffset>453438</wp:posOffset>
                </wp:positionV>
                <wp:extent cx="6572885" cy="1404620"/>
                <wp:effectExtent l="0" t="0" r="18415"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3328" cy="1404620"/>
                        </a:xfrm>
                        <a:prstGeom prst="rect">
                          <a:avLst/>
                        </a:prstGeom>
                        <a:solidFill>
                          <a:srgbClr val="FFFFFF"/>
                        </a:solidFill>
                        <a:ln w="9525">
                          <a:solidFill>
                            <a:srgbClr val="000000"/>
                          </a:solidFill>
                          <a:miter lim="800000"/>
                          <a:headEnd/>
                          <a:tailEnd/>
                        </a:ln>
                      </wps:spPr>
                      <wps:txbx>
                        <w:txbxContent>
                          <w:p w:rsidR="00D212AE" w:rsidRDefault="00D212AE" w:rsidP="00D212AE">
                            <w:pPr>
                              <w:rPr>
                                <w:rFonts w:ascii="Times" w:hAnsi="Times" w:cs="Times"/>
                                <w:sz w:val="20"/>
                                <w:szCs w:val="20"/>
                                <w:lang w:eastAsia="x-none"/>
                              </w:rPr>
                            </w:pPr>
                            <w:r>
                              <w:rPr>
                                <w:b/>
                                <w:bCs/>
                                <w:u w:val="single"/>
                                <w:lang w:eastAsia="x-none"/>
                              </w:rPr>
                              <w:t>Conclusion</w:t>
                            </w:r>
                            <w:r>
                              <w:rPr>
                                <w:lang w:eastAsia="x-none"/>
                              </w:rPr>
                              <w:t>:</w:t>
                            </w:r>
                          </w:p>
                          <w:p w:rsidR="00D212AE" w:rsidRPr="002C26BD" w:rsidRDefault="00D212AE" w:rsidP="00D212AE">
                            <w:pPr>
                              <w:numPr>
                                <w:ilvl w:val="0"/>
                                <w:numId w:val="17"/>
                              </w:numPr>
                              <w:rPr>
                                <w:lang w:eastAsia="x-none"/>
                              </w:rPr>
                            </w:pPr>
                            <w:r w:rsidRPr="002C26BD">
                              <w:rPr>
                                <w:lang w:eastAsia="x-none"/>
                              </w:rPr>
                              <w:t>For semi-static HARQ-ACK codebook, clarify that location of HARQ-ACK for SPS PDSCH release is same as for the SLIV of SPS PDSCH</w:t>
                            </w:r>
                          </w:p>
                          <w:p w:rsidR="00D212AE" w:rsidRDefault="00D212AE" w:rsidP="00D212AE">
                            <w:pPr>
                              <w:numPr>
                                <w:ilvl w:val="1"/>
                                <w:numId w:val="17"/>
                              </w:numPr>
                              <w:rPr>
                                <w:lang w:eastAsia="x-none"/>
                              </w:rPr>
                            </w:pPr>
                            <w:r w:rsidRPr="002C26BD">
                              <w:rPr>
                                <w:lang w:eastAsia="x-none"/>
                              </w:rPr>
                              <w:t>Editor to check if clarification is needed in the spec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9B5EDBB" id="_x0000_t202" coordsize="21600,21600" o:spt="202" path="m,l,21600r21600,l21600,xe">
                <v:stroke joinstyle="miter"/>
                <v:path gradientshapeok="t" o:connecttype="rect"/>
              </v:shapetype>
              <v:shape id="Text Box 2" o:spid="_x0000_s1026" type="#_x0000_t202" style="position:absolute;margin-left:0;margin-top:35.7pt;width:517.5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">
                <v:textbox style="mso-fit-shape-to-text:t">
                  <w:txbxContent>
                    <w:p w:rsidR="00D212AE" w:rsidRDefault="00D212AE" w:rsidP="00D212AE">
                      <w:pPr>
                        <w:rPr>
                          <w:rFonts w:ascii="Times" w:hAnsi="Times" w:cs="Times"/>
                          <w:sz w:val="20"/>
                          <w:szCs w:val="20"/>
                          <w:lang w:eastAsia="x-none"/>
                        </w:rPr>
                      </w:pPr>
                      <w:r>
                        <w:rPr>
                          <w:b/>
                          <w:bCs/>
                          <w:u w:val="single"/>
                          <w:lang w:eastAsia="x-none"/>
                        </w:rPr>
                        <w:t>Conclusion</w:t>
                      </w:r>
                      <w:r>
                        <w:rPr>
                          <w:lang w:eastAsia="x-none"/>
                        </w:rPr>
                        <w:t>:</w:t>
                      </w:r>
                    </w:p>
                    <w:p w:rsidR="00D212AE" w:rsidRPr="002C26BD" w:rsidRDefault="00D212AE" w:rsidP="00D212AE">
                      <w:pPr>
                        <w:numPr>
                          <w:ilvl w:val="0"/>
                          <w:numId w:val="17"/>
                        </w:numPr>
                        <w:rPr>
                          <w:lang w:eastAsia="x-none"/>
                        </w:rPr>
                      </w:pPr>
                      <w:r w:rsidRPr="002C26BD">
                        <w:rPr>
                          <w:lang w:eastAsia="x-none"/>
                        </w:rPr>
                        <w:t>For semi-static HARQ-ACK codebook, clarify that location of HARQ-ACK for SPS PDSCH release is same as for the SLIV of SPS PDSCH</w:t>
                      </w:r>
                    </w:p>
                    <w:p w:rsidR="00D212AE" w:rsidRDefault="00D212AE" w:rsidP="00D212AE">
                      <w:pPr>
                        <w:numPr>
                          <w:ilvl w:val="1"/>
                          <w:numId w:val="17"/>
                        </w:numPr>
                        <w:rPr>
                          <w:lang w:eastAsia="x-none"/>
                        </w:rPr>
                      </w:pPr>
                      <w:r w:rsidRPr="002C26BD">
                        <w:rPr>
                          <w:lang w:eastAsia="x-none"/>
                        </w:rPr>
                        <w:t>Editor to check if clarification is needed in the spec</w:t>
                      </w:r>
                    </w:p>
                  </w:txbxContent>
                </v:textbox>
                <w10:wrap type="topAndBottom" anchorx="margin"/>
              </v:shape>
            </w:pict>
          </mc:Fallback>
        </mc:AlternateContent>
      </w:r>
      <w:r>
        <w:rPr>
          <w:szCs w:val="32"/>
        </w:rPr>
        <w:t>The following lists conclusion in RAN1#94bis, it was concluded that SLIV should be used to derive the location of the HARQ-ACK:</w:t>
      </w:r>
    </w:p>
    <w:p w:rsidR="002D4385" w:rsidRDefault="002D4385" w:rsidP="002D4385">
      <w:pPr>
        <w:rPr>
          <w:szCs w:val="32"/>
        </w:rPr>
      </w:pPr>
      <w:r>
        <w:rPr>
          <w:szCs w:val="32"/>
        </w:rPr>
        <w:t xml:space="preserve">The above conclusion is enough to determine the location of the HARQ-ACK for SPS </w:t>
      </w:r>
      <w:r w:rsidR="00F208F1">
        <w:rPr>
          <w:szCs w:val="32"/>
        </w:rPr>
        <w:t xml:space="preserve">PDSCH </w:t>
      </w:r>
      <w:r>
        <w:rPr>
          <w:szCs w:val="32"/>
        </w:rPr>
        <w:t>release in case when the PDSCH slot duration ≥ PDCCH slot duration, however</w:t>
      </w:r>
      <w:r w:rsidR="00D212AE">
        <w:rPr>
          <w:szCs w:val="32"/>
        </w:rPr>
        <w:t>,</w:t>
      </w:r>
      <w:r>
        <w:rPr>
          <w:szCs w:val="32"/>
        </w:rPr>
        <w:t xml:space="preserve"> in the case when PDSCH slot duration &lt; PDCCH slot duration shown in </w:t>
      </w:r>
      <w:r>
        <w:rPr>
          <w:szCs w:val="32"/>
        </w:rPr>
        <w:fldChar w:fldCharType="begin"/>
      </w:r>
      <w:r w:rsidRPr="00422EC9">
        <w:rPr>
          <w:szCs w:val="32"/>
        </w:rPr>
        <w:instrText xml:space="preserve"> REF _Ref13840600 \h </w:instrText>
      </w:r>
      <w:r w:rsidR="00422EC9">
        <w:rPr>
          <w:szCs w:val="32"/>
        </w:rPr>
        <w:instrText xml:space="preserve"> \* MERGEFORMAT </w:instrText>
      </w:r>
      <w:r>
        <w:rPr>
          <w:szCs w:val="32"/>
        </w:rPr>
      </w:r>
      <w:r>
        <w:rPr>
          <w:szCs w:val="32"/>
        </w:rPr>
        <w:fldChar w:fldCharType="separate"/>
      </w:r>
      <w:r w:rsidR="00CE664C" w:rsidRPr="00CE664C">
        <w:t>Figure</w:t>
      </w:r>
      <w:r w:rsidR="00CE664C" w:rsidRPr="00F208F1">
        <w:rPr>
          <w:sz w:val="22"/>
        </w:rPr>
        <w:t xml:space="preserve"> </w:t>
      </w:r>
      <w:r w:rsidR="00CE664C">
        <w:rPr>
          <w:noProof/>
          <w:sz w:val="22"/>
        </w:rPr>
        <w:t>1</w:t>
      </w:r>
      <w:r>
        <w:rPr>
          <w:szCs w:val="32"/>
        </w:rPr>
        <w:fldChar w:fldCharType="end"/>
      </w:r>
      <w:r>
        <w:rPr>
          <w:szCs w:val="32"/>
        </w:rPr>
        <w:t>, several positions of the SPS PDSCH slot overlapping with the PDCCH slot are possible, these positions are normally resolved using K0</w:t>
      </w:r>
      <w:r w:rsidR="00D212AE">
        <w:rPr>
          <w:szCs w:val="32"/>
        </w:rPr>
        <w:t>,</w:t>
      </w:r>
      <w:r>
        <w:rPr>
          <w:szCs w:val="32"/>
        </w:rPr>
        <w:t xml:space="preserve"> however</w:t>
      </w:r>
      <w:r w:rsidR="00D212AE">
        <w:rPr>
          <w:szCs w:val="32"/>
        </w:rPr>
        <w:t>,</w:t>
      </w:r>
      <w:r>
        <w:rPr>
          <w:szCs w:val="32"/>
        </w:rPr>
        <w:t xml:space="preserve"> only the SLIV is used</w:t>
      </w:r>
      <w:r w:rsidR="00D212AE">
        <w:rPr>
          <w:szCs w:val="32"/>
        </w:rPr>
        <w:t xml:space="preserve"> in R15</w:t>
      </w:r>
      <w:r>
        <w:rPr>
          <w:szCs w:val="32"/>
        </w:rPr>
        <w:t>.</w:t>
      </w:r>
    </w:p>
    <w:p w:rsidR="002D4385" w:rsidRDefault="002D4385" w:rsidP="002D4385">
      <w:pPr>
        <w:rPr>
          <w:szCs w:val="32"/>
        </w:rPr>
      </w:pPr>
    </w:p>
    <w:p w:rsidR="002D4385" w:rsidRDefault="002D4385" w:rsidP="002D4385">
      <w:pPr>
        <w:jc w:val="center"/>
        <w:rPr>
          <w:szCs w:val="32"/>
        </w:rPr>
      </w:pPr>
      <w:r w:rsidRPr="006F6FFF">
        <w:rPr>
          <w:noProof/>
        </w:rPr>
        <w:lastRenderedPageBreak/>
        <w:drawing>
          <wp:inline distT="0" distB="0" distL="0" distR="0" wp14:anchorId="0BA1AAC5" wp14:editId="5420FBA4">
            <wp:extent cx="5770680" cy="1440611"/>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81823" cy="1443393"/>
                    </a:xfrm>
                    <a:prstGeom prst="rect">
                      <a:avLst/>
                    </a:prstGeom>
                    <a:noFill/>
                    <a:ln>
                      <a:noFill/>
                    </a:ln>
                  </pic:spPr>
                </pic:pic>
              </a:graphicData>
            </a:graphic>
          </wp:inline>
        </w:drawing>
      </w:r>
    </w:p>
    <w:p w:rsidR="002D4385" w:rsidRPr="00F208F1" w:rsidRDefault="002D4385" w:rsidP="002D4385">
      <w:pPr>
        <w:pStyle w:val="aa"/>
        <w:jc w:val="center"/>
        <w:rPr>
          <w:sz w:val="22"/>
          <w:szCs w:val="32"/>
        </w:rPr>
      </w:pPr>
      <w:bookmarkStart w:id="1" w:name="_Ref13840600"/>
      <w:r w:rsidRPr="00F208F1">
        <w:rPr>
          <w:sz w:val="22"/>
        </w:rPr>
        <w:t xml:space="preserve">Figure </w:t>
      </w:r>
      <w:bookmarkEnd w:id="1"/>
      <w:r w:rsidR="001D6819">
        <w:rPr>
          <w:sz w:val="22"/>
        </w:rPr>
        <w:t>2</w:t>
      </w:r>
      <w:r w:rsidRPr="00F208F1">
        <w:rPr>
          <w:sz w:val="22"/>
        </w:rPr>
        <w:t xml:space="preserve">: Possible SPS PDSCH slots position for </w:t>
      </w:r>
      <w:r w:rsidRPr="00F208F1">
        <w:rPr>
          <w:sz w:val="22"/>
          <w:szCs w:val="32"/>
        </w:rPr>
        <w:t>PDSCH slot duration &lt; PDCCH slot duration</w:t>
      </w:r>
    </w:p>
    <w:p w:rsidR="002D4385" w:rsidRDefault="002D4385" w:rsidP="002D4385">
      <w:pPr>
        <w:rPr>
          <w:szCs w:val="32"/>
        </w:rPr>
      </w:pPr>
    </w:p>
    <w:p w:rsidR="002D4385" w:rsidRDefault="002D4385" w:rsidP="002D4385">
      <w:pPr>
        <w:rPr>
          <w:szCs w:val="32"/>
        </w:rPr>
      </w:pPr>
      <w:r>
        <w:rPr>
          <w:szCs w:val="32"/>
        </w:rPr>
        <w:t>To resolve the ambiguity shown in</w:t>
      </w:r>
      <w:r w:rsidR="001D6819">
        <w:t xml:space="preserve"> Figure 2</w:t>
      </w:r>
      <w:r>
        <w:rPr>
          <w:szCs w:val="32"/>
        </w:rPr>
        <w:t>, the last PDSCH slot overlapping with the PDCCH reception can be used</w:t>
      </w:r>
      <w:r w:rsidR="00422EC9">
        <w:rPr>
          <w:szCs w:val="32"/>
        </w:rPr>
        <w:t>.</w:t>
      </w:r>
    </w:p>
    <w:p w:rsidR="00516E0C" w:rsidRPr="00516E0C" w:rsidRDefault="00516E0C" w:rsidP="00516E0C">
      <w:pPr>
        <w:rPr>
          <w:lang w:val="en-GB" w:eastAsia="en-US"/>
        </w:rPr>
      </w:pPr>
    </w:p>
    <w:p w:rsidR="006060D6" w:rsidRDefault="006060D6" w:rsidP="006060D6">
      <w:pPr>
        <w:pStyle w:val="aa"/>
        <w:rPr>
          <w:sz w:val="24"/>
        </w:rPr>
      </w:pPr>
      <w:r w:rsidRPr="006060D6">
        <w:rPr>
          <w:sz w:val="24"/>
          <w:u w:val="single"/>
        </w:rPr>
        <w:t xml:space="preserve">Proposal </w:t>
      </w:r>
      <w:r w:rsidR="001A062F">
        <w:rPr>
          <w:sz w:val="24"/>
          <w:u w:val="single"/>
        </w:rPr>
        <w:t>2</w:t>
      </w:r>
      <w:r w:rsidRPr="006060D6">
        <w:rPr>
          <w:sz w:val="24"/>
          <w:u w:val="single"/>
        </w:rPr>
        <w:t>:</w:t>
      </w:r>
      <w:r>
        <w:rPr>
          <w:sz w:val="24"/>
        </w:rPr>
        <w:t xml:space="preserve"> </w:t>
      </w:r>
      <w:r w:rsidR="00074108">
        <w:rPr>
          <w:sz w:val="24"/>
        </w:rPr>
        <w:t>T</w:t>
      </w:r>
      <w:r w:rsidR="00477123">
        <w:rPr>
          <w:sz w:val="24"/>
        </w:rPr>
        <w:t xml:space="preserve">he last PDSCH slot that overlaps with the PDCCH slot </w:t>
      </w:r>
      <w:r w:rsidR="00074108">
        <w:rPr>
          <w:sz w:val="24"/>
        </w:rPr>
        <w:t>containing the</w:t>
      </w:r>
      <w:r w:rsidR="00477123">
        <w:rPr>
          <w:sz w:val="24"/>
        </w:rPr>
        <w:t xml:space="preserve"> SPS PDSCH release</w:t>
      </w:r>
      <w:r>
        <w:rPr>
          <w:sz w:val="24"/>
        </w:rPr>
        <w:t xml:space="preserve"> is used t</w:t>
      </w:r>
      <w:r w:rsidR="00E039A7">
        <w:rPr>
          <w:sz w:val="24"/>
        </w:rPr>
        <w:t xml:space="preserve">o determine the location of </w:t>
      </w:r>
      <w:r w:rsidR="003F21F2">
        <w:rPr>
          <w:sz w:val="24"/>
        </w:rPr>
        <w:t xml:space="preserve">the </w:t>
      </w:r>
      <w:r>
        <w:rPr>
          <w:sz w:val="24"/>
        </w:rPr>
        <w:t xml:space="preserve">HARQ-ACK </w:t>
      </w:r>
      <w:r w:rsidR="003F21F2">
        <w:rPr>
          <w:sz w:val="24"/>
        </w:rPr>
        <w:t>for SPS PDSCH release</w:t>
      </w:r>
      <w:r w:rsidR="00074108">
        <w:rPr>
          <w:sz w:val="24"/>
        </w:rPr>
        <w:t xml:space="preserve"> in HARQ-ACK Type-1 codebook</w:t>
      </w:r>
      <w:r w:rsidR="00CE664C">
        <w:rPr>
          <w:sz w:val="24"/>
        </w:rPr>
        <w:t xml:space="preserve"> </w:t>
      </w:r>
      <w:r>
        <w:rPr>
          <w:sz w:val="24"/>
        </w:rPr>
        <w:t>when PDSCH and PDCCH are different numerologies.</w:t>
      </w:r>
    </w:p>
    <w:p w:rsidR="0036061F" w:rsidRDefault="0036061F" w:rsidP="0036061F">
      <w:pPr>
        <w:rPr>
          <w:lang w:val="en-GB" w:eastAsia="en-US"/>
        </w:rPr>
      </w:pPr>
    </w:p>
    <w:p w:rsidR="00F208F1" w:rsidRDefault="00F208F1" w:rsidP="002D4385">
      <w:pPr>
        <w:rPr>
          <w:szCs w:val="32"/>
          <w:lang w:val="en-GB"/>
        </w:rPr>
      </w:pPr>
      <w:r>
        <w:rPr>
          <w:lang w:val="en-GB" w:eastAsia="en-US"/>
        </w:rPr>
        <w:t>Another issue is how to determine PUCCH Tx slot in case of different PDCCH, PDSCH and PUCCH numerologie</w:t>
      </w:r>
      <w:r w:rsidRPr="009B6287">
        <w:rPr>
          <w:lang w:val="en-GB" w:eastAsia="en-US"/>
        </w:rPr>
        <w:t xml:space="preserve">s. </w:t>
      </w:r>
      <w:r w:rsidR="002D4385" w:rsidRPr="009B6287">
        <w:rPr>
          <w:lang w:val="en-GB"/>
        </w:rPr>
        <w:fldChar w:fldCharType="begin"/>
      </w:r>
      <w:r w:rsidR="002D4385" w:rsidRPr="009B6287">
        <w:rPr>
          <w:lang w:val="en-GB"/>
        </w:rPr>
        <w:instrText xml:space="preserve"> REF _Ref13750041 \h </w:instrText>
      </w:r>
      <w:r w:rsidR="009B6287">
        <w:rPr>
          <w:lang w:val="en-GB"/>
        </w:rPr>
        <w:instrText xml:space="preserve"> \* MERGEFORMAT </w:instrText>
      </w:r>
      <w:r w:rsidR="002D4385" w:rsidRPr="009B6287">
        <w:rPr>
          <w:lang w:val="en-GB"/>
        </w:rPr>
      </w:r>
      <w:r w:rsidR="002D4385" w:rsidRPr="009B6287">
        <w:rPr>
          <w:lang w:val="en-GB"/>
        </w:rPr>
        <w:fldChar w:fldCharType="separate"/>
      </w:r>
      <w:r w:rsidR="00CE664C" w:rsidRPr="009B6287">
        <w:t xml:space="preserve">Figure </w:t>
      </w:r>
      <w:r w:rsidR="00CE664C" w:rsidRPr="009B6287">
        <w:rPr>
          <w:noProof/>
        </w:rPr>
        <w:t>2</w:t>
      </w:r>
      <w:r w:rsidR="002D4385" w:rsidRPr="009B6287">
        <w:rPr>
          <w:lang w:val="en-GB"/>
        </w:rPr>
        <w:fldChar w:fldCharType="end"/>
      </w:r>
      <w:r w:rsidR="002D4385">
        <w:rPr>
          <w:szCs w:val="32"/>
          <w:lang w:val="en-GB"/>
        </w:rPr>
        <w:t xml:space="preserve"> illustrates the PUCCH Tx slot when PDCCH and PUCCH slot durations are smaller than the PDSCH slot duration. </w:t>
      </w:r>
      <w:r>
        <w:rPr>
          <w:szCs w:val="32"/>
          <w:lang w:val="en-GB"/>
        </w:rPr>
        <w:t xml:space="preserve">In R15, if UE detects </w:t>
      </w:r>
      <w:r w:rsidR="009B6287">
        <w:rPr>
          <w:szCs w:val="32"/>
          <w:lang w:val="en-GB"/>
        </w:rPr>
        <w:t>a DCI</w:t>
      </w:r>
      <w:r>
        <w:rPr>
          <w:szCs w:val="32"/>
          <w:lang w:val="en-GB"/>
        </w:rPr>
        <w:t xml:space="preserve"> for SPS PDSCH release through a PDCCH reception ending in slot </w:t>
      </w:r>
      <w:r w:rsidRPr="009B6287">
        <w:rPr>
          <w:i/>
          <w:szCs w:val="32"/>
          <w:lang w:val="en-GB"/>
        </w:rPr>
        <w:t>n</w:t>
      </w:r>
      <w:r>
        <w:rPr>
          <w:szCs w:val="32"/>
          <w:lang w:val="en-GB"/>
        </w:rPr>
        <w:t xml:space="preserve">, the UE provides corresponding HARQ-ACK information in a PUCCH transmission within slot </w:t>
      </w:r>
      <w:r w:rsidRPr="009B6287">
        <w:rPr>
          <w:i/>
          <w:szCs w:val="32"/>
          <w:lang w:val="en-GB"/>
        </w:rPr>
        <w:t>n</w:t>
      </w:r>
      <w:r>
        <w:rPr>
          <w:szCs w:val="32"/>
          <w:lang w:val="en-GB"/>
        </w:rPr>
        <w:t>+</w:t>
      </w:r>
      <w:r w:rsidRPr="009B6287">
        <w:rPr>
          <w:i/>
          <w:szCs w:val="32"/>
          <w:lang w:val="en-GB"/>
        </w:rPr>
        <w:t>k</w:t>
      </w:r>
      <w:r>
        <w:rPr>
          <w:szCs w:val="32"/>
          <w:lang w:val="en-GB"/>
        </w:rPr>
        <w:t xml:space="preserve">, where </w:t>
      </w:r>
      <w:r w:rsidRPr="009B6287">
        <w:rPr>
          <w:i/>
          <w:szCs w:val="32"/>
          <w:lang w:val="en-GB"/>
        </w:rPr>
        <w:t>k</w:t>
      </w:r>
      <w:r>
        <w:rPr>
          <w:szCs w:val="32"/>
          <w:lang w:val="en-GB"/>
        </w:rPr>
        <w:t xml:space="preserve"> is indicated by PDSCH-to-HARQ-timing-indicator. And </w:t>
      </w:r>
      <w:r w:rsidRPr="009B6287">
        <w:rPr>
          <w:i/>
          <w:szCs w:val="32"/>
          <w:lang w:val="en-GB"/>
        </w:rPr>
        <w:t>k</w:t>
      </w:r>
      <w:r>
        <w:rPr>
          <w:szCs w:val="32"/>
          <w:lang w:val="en-GB"/>
        </w:rPr>
        <w:t xml:space="preserve">=0 corresponds to the last slot of the PUCCH transmission that overlaps with PDCCH reception for SPS PDSCH release. When PDSCH slot duration &gt; PDCCH/PUCCH slot duration as shown </w:t>
      </w:r>
      <w:r w:rsidRPr="009B6287">
        <w:rPr>
          <w:lang w:val="en-GB"/>
        </w:rPr>
        <w:t xml:space="preserve">in </w:t>
      </w:r>
      <w:r w:rsidRPr="009B6287">
        <w:rPr>
          <w:lang w:val="en-GB"/>
        </w:rPr>
        <w:fldChar w:fldCharType="begin"/>
      </w:r>
      <w:r w:rsidRPr="009B6287">
        <w:rPr>
          <w:lang w:val="en-GB"/>
        </w:rPr>
        <w:instrText xml:space="preserve"> REF _Ref13750041 \h </w:instrText>
      </w:r>
      <w:r w:rsidR="009B6287">
        <w:rPr>
          <w:lang w:val="en-GB"/>
        </w:rPr>
        <w:instrText xml:space="preserve"> \* MERGEFORMAT </w:instrText>
      </w:r>
      <w:r w:rsidRPr="009B6287">
        <w:rPr>
          <w:lang w:val="en-GB"/>
        </w:rPr>
      </w:r>
      <w:r w:rsidRPr="009B6287">
        <w:rPr>
          <w:lang w:val="en-GB"/>
        </w:rPr>
        <w:fldChar w:fldCharType="separate"/>
      </w:r>
      <w:r w:rsidR="00CE664C" w:rsidRPr="009B6287">
        <w:t xml:space="preserve">Figure </w:t>
      </w:r>
      <w:r w:rsidR="00CE664C" w:rsidRPr="009B6287">
        <w:rPr>
          <w:noProof/>
        </w:rPr>
        <w:t>2</w:t>
      </w:r>
      <w:r w:rsidRPr="009B6287">
        <w:rPr>
          <w:lang w:val="en-GB"/>
        </w:rPr>
        <w:fldChar w:fldCharType="end"/>
      </w:r>
      <w:r w:rsidRPr="009B6287">
        <w:rPr>
          <w:lang w:val="en-GB"/>
        </w:rPr>
        <w:t>,</w:t>
      </w:r>
      <w:r>
        <w:rPr>
          <w:szCs w:val="32"/>
          <w:lang w:val="en-GB"/>
        </w:rPr>
        <w:t xml:space="preserve"> it leads to PUCCH transmit slot that is earlier than the end of the overlapping PDSCH slot.</w:t>
      </w:r>
    </w:p>
    <w:p w:rsidR="002D4385" w:rsidRDefault="002D4385" w:rsidP="002D4385">
      <w:pPr>
        <w:rPr>
          <w:szCs w:val="32"/>
          <w:lang w:val="en-GB"/>
        </w:rPr>
      </w:pPr>
    </w:p>
    <w:p w:rsidR="002D4385" w:rsidRDefault="002D4385" w:rsidP="00F208F1">
      <w:pPr>
        <w:jc w:val="center"/>
        <w:rPr>
          <w:szCs w:val="32"/>
          <w:lang w:val="en-GB"/>
        </w:rPr>
      </w:pPr>
      <w:r>
        <w:rPr>
          <w:noProof/>
          <w:szCs w:val="32"/>
        </w:rPr>
        <w:drawing>
          <wp:inline distT="0" distB="0" distL="0" distR="0" wp14:anchorId="47663C70" wp14:editId="38296AA2">
            <wp:extent cx="5874589" cy="2363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78399" cy="2365213"/>
                    </a:xfrm>
                    <a:prstGeom prst="rect">
                      <a:avLst/>
                    </a:prstGeom>
                    <a:noFill/>
                  </pic:spPr>
                </pic:pic>
              </a:graphicData>
            </a:graphic>
          </wp:inline>
        </w:drawing>
      </w:r>
    </w:p>
    <w:p w:rsidR="002D4385" w:rsidRDefault="002D4385" w:rsidP="002D4385">
      <w:pPr>
        <w:rPr>
          <w:szCs w:val="32"/>
          <w:lang w:val="en-GB"/>
        </w:rPr>
      </w:pPr>
    </w:p>
    <w:p w:rsidR="002D4385" w:rsidRPr="00F208F1" w:rsidRDefault="002D4385" w:rsidP="002D4385">
      <w:pPr>
        <w:pStyle w:val="aa"/>
        <w:jc w:val="center"/>
        <w:rPr>
          <w:sz w:val="22"/>
        </w:rPr>
      </w:pPr>
      <w:bookmarkStart w:id="2" w:name="_Ref13750041"/>
      <w:r w:rsidRPr="00F208F1">
        <w:rPr>
          <w:sz w:val="22"/>
        </w:rPr>
        <w:t xml:space="preserve">Figure </w:t>
      </w:r>
      <w:r w:rsidRPr="00F208F1">
        <w:rPr>
          <w:sz w:val="22"/>
        </w:rPr>
        <w:fldChar w:fldCharType="begin"/>
      </w:r>
      <w:r w:rsidRPr="00F208F1">
        <w:rPr>
          <w:sz w:val="22"/>
        </w:rPr>
        <w:instrText xml:space="preserve"> SEQ Figure \* ARABIC </w:instrText>
      </w:r>
      <w:r w:rsidRPr="00F208F1">
        <w:rPr>
          <w:sz w:val="22"/>
        </w:rPr>
        <w:fldChar w:fldCharType="separate"/>
      </w:r>
      <w:r w:rsidR="00CE664C">
        <w:rPr>
          <w:noProof/>
          <w:sz w:val="22"/>
        </w:rPr>
        <w:t>2</w:t>
      </w:r>
      <w:r w:rsidRPr="00F208F1">
        <w:rPr>
          <w:sz w:val="22"/>
        </w:rPr>
        <w:fldChar w:fldCharType="end"/>
      </w:r>
      <w:bookmarkEnd w:id="2"/>
      <w:r w:rsidRPr="00F208F1">
        <w:rPr>
          <w:sz w:val="22"/>
        </w:rPr>
        <w:t>: PUCCH Tx slot for k=0 when PDCCH and PDSCH numerologies are different</w:t>
      </w:r>
    </w:p>
    <w:p w:rsidR="00F208F1" w:rsidRPr="00F208F1" w:rsidRDefault="00F208F1" w:rsidP="00F208F1">
      <w:pPr>
        <w:rPr>
          <w:lang w:val="en-GB" w:eastAsia="en-US"/>
        </w:rPr>
      </w:pPr>
    </w:p>
    <w:p w:rsidR="00DD5197" w:rsidRDefault="002D4385" w:rsidP="0036061F">
      <w:r>
        <w:t xml:space="preserve">As discussed </w:t>
      </w:r>
      <w:r w:rsidR="0089056E">
        <w:t>above</w:t>
      </w:r>
      <w:r>
        <w:t>, the location of the SPS</w:t>
      </w:r>
      <w:r w:rsidR="00465AEB">
        <w:t xml:space="preserve"> PDSCH</w:t>
      </w:r>
      <w:r>
        <w:t xml:space="preserve"> release </w:t>
      </w:r>
      <w:r w:rsidR="0089056E">
        <w:t>HARQ-</w:t>
      </w:r>
      <w:r>
        <w:t>ACK reporting is based on the SLIV information for HARQ-ACK codebook type 1, therefore taking in account the overlapping PDSCH slot to determine the UL reporting slot is needed.</w:t>
      </w:r>
      <w:r w:rsidR="00F208F1">
        <w:t xml:space="preserve"> </w:t>
      </w:r>
      <w:r>
        <w:t xml:space="preserve">To resolve this problem we propose to use the last PDSCH slot that overlaps with the PDCCH slot containing the SPS PDSCH release as the reference slot instead of the PDCCH slot carrying the SPS PDSCH release. </w:t>
      </w:r>
    </w:p>
    <w:p w:rsidR="00516E0C" w:rsidRDefault="00516E0C" w:rsidP="0036061F"/>
    <w:p w:rsidR="00B47F45" w:rsidRDefault="00F208F1" w:rsidP="00601DD9">
      <w:pPr>
        <w:pStyle w:val="aa"/>
        <w:rPr>
          <w:sz w:val="24"/>
        </w:rPr>
      </w:pPr>
      <w:r w:rsidRPr="0082192B">
        <w:rPr>
          <w:sz w:val="24"/>
          <w:u w:val="single"/>
        </w:rPr>
        <w:lastRenderedPageBreak/>
        <w:t xml:space="preserve">Proposal </w:t>
      </w:r>
      <w:r w:rsidR="001A062F">
        <w:rPr>
          <w:sz w:val="24"/>
          <w:u w:val="single"/>
        </w:rPr>
        <w:t>3</w:t>
      </w:r>
      <w:r w:rsidRPr="0082192B">
        <w:rPr>
          <w:sz w:val="24"/>
          <w:u w:val="single"/>
        </w:rPr>
        <w:t>:</w:t>
      </w:r>
      <w:r w:rsidR="00715436">
        <w:rPr>
          <w:sz w:val="24"/>
        </w:rPr>
        <w:t xml:space="preserve"> </w:t>
      </w:r>
      <w:r w:rsidR="00074108">
        <w:rPr>
          <w:sz w:val="24"/>
        </w:rPr>
        <w:t>The</w:t>
      </w:r>
      <w:r w:rsidR="008612D9">
        <w:rPr>
          <w:sz w:val="24"/>
        </w:rPr>
        <w:t xml:space="preserve"> last PDSCH slot </w:t>
      </w:r>
      <w:r w:rsidR="00477123">
        <w:rPr>
          <w:sz w:val="24"/>
        </w:rPr>
        <w:t>that overlaps</w:t>
      </w:r>
      <w:r w:rsidR="008612D9">
        <w:rPr>
          <w:sz w:val="24"/>
        </w:rPr>
        <w:t xml:space="preserve"> with the PDCCH slot containing the SPS PDSCH release is the reference slot </w:t>
      </w:r>
      <w:r w:rsidR="00B203B3">
        <w:rPr>
          <w:sz w:val="24"/>
        </w:rPr>
        <w:t>used to determine</w:t>
      </w:r>
      <w:r w:rsidR="008612D9">
        <w:rPr>
          <w:sz w:val="24"/>
        </w:rPr>
        <w:t xml:space="preserve"> PUCCH Tx slot</w:t>
      </w:r>
      <w:r w:rsidR="00477123">
        <w:rPr>
          <w:sz w:val="24"/>
        </w:rPr>
        <w:t xml:space="preserve"> for SPS PDSCH</w:t>
      </w:r>
      <w:r w:rsidR="008E65FA">
        <w:rPr>
          <w:sz w:val="24"/>
        </w:rPr>
        <w:t xml:space="preserve"> release</w:t>
      </w:r>
      <w:r w:rsidR="00477123">
        <w:rPr>
          <w:sz w:val="24"/>
        </w:rPr>
        <w:t xml:space="preserve"> HARQ-ACK reporting</w:t>
      </w:r>
      <w:r w:rsidR="00074108">
        <w:rPr>
          <w:sz w:val="24"/>
        </w:rPr>
        <w:t xml:space="preserve"> in HARQ-ACK Type-1 codebook</w:t>
      </w:r>
      <w:r w:rsidR="00567515">
        <w:rPr>
          <w:sz w:val="24"/>
        </w:rPr>
        <w:t xml:space="preserve"> when PDSCH, PDCCH and PUCCH are different numerologies</w:t>
      </w:r>
      <w:r w:rsidR="008612D9">
        <w:rPr>
          <w:sz w:val="24"/>
        </w:rPr>
        <w:t>.</w:t>
      </w:r>
    </w:p>
    <w:p w:rsidR="001A062F" w:rsidRDefault="001A062F" w:rsidP="001A062F">
      <w:pPr>
        <w:rPr>
          <w:lang w:val="en-GB" w:eastAsia="en-US"/>
        </w:rPr>
      </w:pPr>
    </w:p>
    <w:p w:rsidR="001A062F" w:rsidRDefault="001A062F" w:rsidP="001A062F">
      <w:pPr>
        <w:rPr>
          <w:lang w:val="en-GB" w:eastAsia="en-US"/>
        </w:rPr>
      </w:pPr>
    </w:p>
    <w:p w:rsidR="001A062F" w:rsidRDefault="001A062F" w:rsidP="001A062F">
      <w:pPr>
        <w:pStyle w:val="1"/>
        <w:rPr>
          <w:rFonts w:eastAsia="新細明體" w:cs="Arial"/>
          <w:color w:val="000000" w:themeColor="text1"/>
          <w:lang w:eastAsia="zh-TW"/>
        </w:rPr>
      </w:pPr>
      <w:r w:rsidRPr="001A062F">
        <w:rPr>
          <w:rFonts w:eastAsia="新細明體" w:cs="Arial"/>
          <w:color w:val="000000" w:themeColor="text1"/>
          <w:lang w:eastAsia="zh-TW"/>
        </w:rPr>
        <w:t xml:space="preserve">4  </w:t>
      </w:r>
      <w:r>
        <w:rPr>
          <w:rFonts w:eastAsia="新細明體" w:cs="Arial"/>
          <w:color w:val="000000" w:themeColor="text1"/>
          <w:lang w:eastAsia="zh-TW"/>
        </w:rPr>
        <w:t xml:space="preserve">       PDCCH-to-PDSCH delay for 120KHZ SCS PDCCH</w:t>
      </w:r>
    </w:p>
    <w:p w:rsidR="001A062F" w:rsidRDefault="00D84737" w:rsidP="001A062F">
      <w:pPr>
        <w:rPr>
          <w:lang w:val="en-GB" w:eastAsia="zh-TW"/>
        </w:rPr>
      </w:pPr>
      <w:r>
        <w:rPr>
          <w:lang w:val="en-GB" w:eastAsia="zh-TW"/>
        </w:rPr>
        <w:t>According to RAN1 97 agreement [2],</w:t>
      </w:r>
    </w:p>
    <w:p w:rsidR="00D84737" w:rsidRPr="00D84737" w:rsidRDefault="00D84737" w:rsidP="001A062F">
      <w:pPr>
        <w:rPr>
          <w:szCs w:val="20"/>
        </w:rPr>
      </w:pPr>
      <w:r w:rsidRPr="00DF73F0">
        <w:rPr>
          <w:szCs w:val="20"/>
          <w:highlight w:val="green"/>
        </w:rPr>
        <w:t>Agreements</w:t>
      </w:r>
      <w:r w:rsidRPr="00DF73F0">
        <w:rPr>
          <w:szCs w:val="20"/>
        </w:rPr>
        <w:t>:</w:t>
      </w:r>
    </w:p>
    <w:p w:rsidR="00D84737" w:rsidRPr="00DF73F0" w:rsidRDefault="00D84737" w:rsidP="00D84737">
      <w:pPr>
        <w:numPr>
          <w:ilvl w:val="0"/>
          <w:numId w:val="19"/>
        </w:numPr>
        <w:rPr>
          <w:szCs w:val="20"/>
        </w:rPr>
      </w:pPr>
      <w:r w:rsidRPr="00DF73F0">
        <w:rPr>
          <w:szCs w:val="20"/>
        </w:rPr>
        <w:t>For high-SCS to low-SCS scheduling, the delta for 120 kHz SCS PDCCH: [12] symbols</w:t>
      </w:r>
    </w:p>
    <w:p w:rsidR="00D84737" w:rsidRDefault="00D84737" w:rsidP="001A062F">
      <w:pPr>
        <w:rPr>
          <w:lang w:eastAsia="zh-TW"/>
        </w:rPr>
      </w:pPr>
    </w:p>
    <w:p w:rsidR="00D84737" w:rsidRDefault="00D84737" w:rsidP="00D84737">
      <w:r>
        <w:t>The value of [12] symbols for PDCCH SCS = 120kHz is very small (less than one slot) and enforces a very tight processing timeline for UE. Therefore, we have the following proposal:</w:t>
      </w:r>
    </w:p>
    <w:p w:rsidR="00D84737" w:rsidRDefault="00D84737" w:rsidP="00D84737"/>
    <w:p w:rsidR="00D84737" w:rsidRPr="00905E1B" w:rsidRDefault="00D84737" w:rsidP="001A062F">
      <w:pPr>
        <w:rPr>
          <w:b/>
        </w:rPr>
      </w:pPr>
      <w:r w:rsidRPr="00905E1B">
        <w:rPr>
          <w:b/>
          <w:u w:val="single"/>
        </w:rPr>
        <w:t>Proposal 4:</w:t>
      </w:r>
      <w:r w:rsidRPr="00905E1B">
        <w:rPr>
          <w:b/>
        </w:rPr>
        <w:t xml:space="preserve"> </w:t>
      </w:r>
      <w:r w:rsidRPr="00905E1B">
        <w:rPr>
          <w:b/>
          <w:szCs w:val="20"/>
        </w:rPr>
        <w:t>For high-SCS to low-SCS scheduling, the delta for 120 kHz SCS PDCCH: [16] symbols</w:t>
      </w:r>
    </w:p>
    <w:p w:rsidR="001A062F" w:rsidRDefault="001A062F" w:rsidP="001A062F">
      <w:pPr>
        <w:rPr>
          <w:lang w:val="en-GB" w:eastAsia="en-US"/>
        </w:rPr>
      </w:pPr>
    </w:p>
    <w:p w:rsidR="00B84139" w:rsidRDefault="00B84139" w:rsidP="001A062F">
      <w:pPr>
        <w:rPr>
          <w:lang w:val="en-GB" w:eastAsia="en-US"/>
        </w:rPr>
      </w:pPr>
    </w:p>
    <w:p w:rsidR="00B84139" w:rsidRPr="009F29FB" w:rsidRDefault="00B84139" w:rsidP="00B84139">
      <w:pPr>
        <w:pStyle w:val="1"/>
        <w:rPr>
          <w:rFonts w:cs="Arial"/>
          <w:color w:val="000000" w:themeColor="text1"/>
        </w:rPr>
      </w:pPr>
      <w:r>
        <w:rPr>
          <w:rFonts w:eastAsia="新細明體" w:cs="Arial"/>
          <w:color w:val="000000" w:themeColor="text1"/>
          <w:lang w:eastAsia="zh-TW"/>
        </w:rPr>
        <w:t xml:space="preserve">5         </w:t>
      </w:r>
      <w:r w:rsidRPr="00B84139">
        <w:rPr>
          <w:b/>
          <w:sz w:val="28"/>
          <w:szCs w:val="28"/>
        </w:rPr>
        <w:t xml:space="preserve">The additional number of symbols </w:t>
      </w:r>
      <m:oMath>
        <m:sSub>
          <m:sSubPr>
            <m:ctrlPr>
              <w:rPr>
                <w:rFonts w:ascii="Cambria Math" w:hAnsi="Cambria Math"/>
                <w:b/>
                <w:sz w:val="28"/>
                <w:szCs w:val="28"/>
              </w:rPr>
            </m:ctrlPr>
          </m:sSubPr>
          <m:e>
            <m:r>
              <m:rPr>
                <m:sty m:val="bi"/>
              </m:rPr>
              <w:rPr>
                <w:rFonts w:ascii="Cambria Math" w:hAnsi="Cambria Math"/>
                <w:sz w:val="28"/>
                <w:szCs w:val="28"/>
              </w:rPr>
              <m:t>m</m:t>
            </m:r>
          </m:e>
          <m:sub>
            <m:r>
              <m:rPr>
                <m:sty m:val="b"/>
              </m:rPr>
              <w:rPr>
                <w:rFonts w:ascii="Cambria Math" w:hAnsi="Cambria Math"/>
                <w:sz w:val="28"/>
                <w:szCs w:val="28"/>
              </w:rPr>
              <m:t>1</m:t>
            </m:r>
          </m:sub>
        </m:sSub>
      </m:oMath>
      <w:r w:rsidRPr="00B84139">
        <w:rPr>
          <w:b/>
          <w:sz w:val="28"/>
          <w:szCs w:val="28"/>
        </w:rPr>
        <w:t xml:space="preserve"> added to the UE reported beamSwitchTiming when</w:t>
      </w:r>
      <w:r w:rsidRPr="000B2CAA">
        <w:rPr>
          <w:b/>
          <w:sz w:val="28"/>
          <w:szCs w:val="28"/>
        </w:rPr>
        <w:t xml:space="preserve"> </w:t>
      </w:r>
      <m:oMath>
        <m:sSub>
          <m:sSubPr>
            <m:ctrlPr>
              <w:rPr>
                <w:rFonts w:ascii="Cambria Math" w:hAnsi="Cambria Math"/>
                <w:b/>
                <w:sz w:val="28"/>
                <w:szCs w:val="28"/>
              </w:rPr>
            </m:ctrlPr>
          </m:sSubPr>
          <m:e>
            <m:r>
              <m:rPr>
                <m:sty m:val="bi"/>
              </m:rPr>
              <w:rPr>
                <w:rFonts w:ascii="Cambria Math" w:hAnsi="Cambria Math"/>
                <w:sz w:val="28"/>
                <w:szCs w:val="28"/>
              </w:rPr>
              <m:t>μ</m:t>
            </m:r>
          </m:e>
          <m:sub>
            <m:r>
              <m:rPr>
                <m:sty m:val="bi"/>
              </m:rPr>
              <w:rPr>
                <w:rFonts w:ascii="Cambria Math" w:hAnsi="Cambria Math"/>
                <w:sz w:val="28"/>
                <w:szCs w:val="28"/>
              </w:rPr>
              <m:t>PDSCH</m:t>
            </m:r>
          </m:sub>
        </m:sSub>
      </m:oMath>
      <w:r w:rsidRPr="000B2CAA">
        <w:rPr>
          <w:b/>
          <w:sz w:val="28"/>
          <w:szCs w:val="28"/>
        </w:rPr>
        <w:t xml:space="preserve"> &gt; </w:t>
      </w:r>
      <m:oMath>
        <m:sSub>
          <m:sSubPr>
            <m:ctrlPr>
              <w:rPr>
                <w:rFonts w:ascii="Cambria Math" w:hAnsi="Cambria Math"/>
                <w:b/>
                <w:sz w:val="28"/>
                <w:szCs w:val="28"/>
              </w:rPr>
            </m:ctrlPr>
          </m:sSubPr>
          <m:e>
            <m:r>
              <m:rPr>
                <m:sty m:val="bi"/>
              </m:rPr>
              <w:rPr>
                <w:rFonts w:ascii="Cambria Math" w:hAnsi="Cambria Math"/>
                <w:sz w:val="28"/>
                <w:szCs w:val="28"/>
              </w:rPr>
              <m:t>μ</m:t>
            </m:r>
          </m:e>
          <m:sub>
            <m:r>
              <m:rPr>
                <m:sty m:val="bi"/>
              </m:rPr>
              <w:rPr>
                <w:rFonts w:ascii="Cambria Math" w:hAnsi="Cambria Math"/>
                <w:sz w:val="28"/>
                <w:szCs w:val="28"/>
              </w:rPr>
              <m:t>PDCCH</m:t>
            </m:r>
          </m:sub>
        </m:sSub>
      </m:oMath>
    </w:p>
    <w:p w:rsidR="00B84139" w:rsidRDefault="00B84139" w:rsidP="001A062F">
      <w:pPr>
        <w:rPr>
          <w:lang w:val="en-GB" w:eastAsia="en-US"/>
        </w:rPr>
      </w:pPr>
      <w:r>
        <w:t>T</w:t>
      </w:r>
      <w:r>
        <w:t>o provide sufficient UE processing time for DCI decoding. The parameter ‘</w:t>
      </w:r>
      <w:r w:rsidRPr="00134BA9">
        <w:rPr>
          <w:i/>
        </w:rPr>
        <w:t>beamSwitchTiming</w:t>
      </w:r>
      <w:r>
        <w:t xml:space="preserve">’ somehow takes PDCCH processing time into account, but it is derived under the assumption of the same numerology between DCI and </w:t>
      </w:r>
      <w:r>
        <w:t>PDSCH</w:t>
      </w:r>
      <w:r>
        <w:rPr>
          <w:rFonts w:hint="eastAsia"/>
          <w:lang w:eastAsia="zh-TW"/>
        </w:rPr>
        <w:t xml:space="preserve"> </w:t>
      </w:r>
      <w:r>
        <w:t xml:space="preserve">so we need additional offset </w:t>
      </w:r>
      <w:r w:rsidRPr="00A62857">
        <w:rPr>
          <w:i/>
        </w:rPr>
        <w:t>m</w:t>
      </w:r>
      <w:r w:rsidRPr="00A62857">
        <w:rPr>
          <w:vertAlign w:val="subscript"/>
        </w:rPr>
        <w:t>1</w:t>
      </w:r>
      <w:r>
        <w:t xml:space="preserve"> for different numerology case. </w:t>
      </w:r>
    </w:p>
    <w:p w:rsidR="00B84139" w:rsidRDefault="00B84139" w:rsidP="001A062F">
      <w:pPr>
        <w:rPr>
          <w:lang w:val="en-GB" w:eastAsia="en-US"/>
        </w:rPr>
      </w:pPr>
    </w:p>
    <w:p w:rsidR="00B84139" w:rsidRPr="00552829" w:rsidRDefault="00B84139" w:rsidP="00B84139">
      <w:pPr>
        <w:rPr>
          <w:b/>
        </w:rPr>
      </w:pPr>
      <w:r>
        <w:rPr>
          <w:b/>
          <w:u w:val="single"/>
        </w:rPr>
        <w:t>Proposal 5</w:t>
      </w:r>
      <w:r w:rsidRPr="00D569AD">
        <w:rPr>
          <w:b/>
          <w:u w:val="single"/>
        </w:rPr>
        <w:t xml:space="preserve">: </w:t>
      </w:r>
      <w:r>
        <w:rPr>
          <w:b/>
        </w:rPr>
        <w:t xml:space="preserve">Set the </w:t>
      </w:r>
      <w:r w:rsidRPr="000B2CAA">
        <w:rPr>
          <w:b/>
        </w:rPr>
        <w:t xml:space="preserve">additional number of symbols added to the UE reported beamSwitchTiming when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PDSCH</m:t>
            </m:r>
          </m:sub>
        </m:sSub>
      </m:oMath>
      <w:r w:rsidRPr="000B2CAA">
        <w:rPr>
          <w:b/>
        </w:rPr>
        <w:t xml:space="preserve"> &gt;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PDCCH</m:t>
            </m:r>
          </m:sub>
        </m:sSub>
      </m:oMath>
      <w:r>
        <w:rPr>
          <w:b/>
        </w:rPr>
        <w:t xml:space="preserve">, </w:t>
      </w:r>
      <w:r w:rsidRPr="000F1295">
        <w:rPr>
          <w:b/>
        </w:rPr>
        <w:t xml:space="preserve">which means </w:t>
      </w:r>
      <m:oMath>
        <m:sSub>
          <m:sSubPr>
            <m:ctrlPr>
              <w:rPr>
                <w:rFonts w:ascii="Cambria Math" w:hAnsi="Cambria Math"/>
                <w:b/>
              </w:rPr>
            </m:ctrlPr>
          </m:sSubPr>
          <m:e>
            <m:r>
              <m:rPr>
                <m:sty m:val="bi"/>
              </m:rPr>
              <w:rPr>
                <w:rFonts w:ascii="Cambria Math" w:hAnsi="Cambria Math"/>
              </w:rPr>
              <m:t>m</m:t>
            </m:r>
          </m:e>
          <m:sub>
            <m:r>
              <m:rPr>
                <m:sty m:val="b"/>
              </m:rPr>
              <w:rPr>
                <w:rFonts w:ascii="Cambria Math" w:hAnsi="Cambria Math"/>
              </w:rPr>
              <m:t>1</m:t>
            </m:r>
          </m:sub>
        </m:sSub>
      </m:oMath>
      <w:r w:rsidRPr="000F1295">
        <w:rPr>
          <w:b/>
        </w:rPr>
        <w:t>, to be 14.</w:t>
      </w:r>
    </w:p>
    <w:p w:rsidR="00B84139" w:rsidRPr="00B84139" w:rsidRDefault="00B84139" w:rsidP="001A062F">
      <w:pPr>
        <w:rPr>
          <w:lang w:eastAsia="en-US"/>
        </w:rPr>
      </w:pPr>
    </w:p>
    <w:p w:rsidR="00BB61FF" w:rsidRPr="009F29FB" w:rsidRDefault="00B84139" w:rsidP="00BB61FF">
      <w:pPr>
        <w:pStyle w:val="1"/>
        <w:rPr>
          <w:rFonts w:cs="Arial"/>
          <w:color w:val="000000" w:themeColor="text1"/>
        </w:rPr>
      </w:pPr>
      <w:r>
        <w:rPr>
          <w:rFonts w:eastAsia="新細明體" w:cs="Arial"/>
          <w:color w:val="000000" w:themeColor="text1"/>
          <w:lang w:eastAsia="zh-TW"/>
        </w:rPr>
        <w:t>6</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A95AA2" w:rsidRDefault="00A95AA2" w:rsidP="00BB61FF">
      <w:r>
        <w:t xml:space="preserve">This tdoc focuses on </w:t>
      </w:r>
      <w:r w:rsidRPr="00366005">
        <w:t>remaining details on cross carrier scheduling</w:t>
      </w:r>
      <w:r>
        <w:t>:</w:t>
      </w:r>
    </w:p>
    <w:p w:rsidR="001A062F" w:rsidRDefault="001A062F" w:rsidP="001A062F">
      <w:pPr>
        <w:spacing w:before="120"/>
        <w:rPr>
          <w:b/>
        </w:rPr>
      </w:pPr>
      <w:r>
        <w:rPr>
          <w:b/>
          <w:u w:val="single"/>
        </w:rPr>
        <w:t xml:space="preserve">Observation </w:t>
      </w:r>
      <w:r w:rsidRPr="00A95AA2">
        <w:rPr>
          <w:b/>
          <w:u w:val="single"/>
        </w:rPr>
        <w:t>1:</w:t>
      </w:r>
      <w:r w:rsidRPr="00A95AA2">
        <w:rPr>
          <w:b/>
        </w:rPr>
        <w:t xml:space="preserve"> The maximum DL data rate of 15 kHz SCS PDCCH scheduling 120 kHz SCS PDSCH is achievable with FG 3-5b </w:t>
      </w:r>
      <w:r>
        <w:rPr>
          <w:b/>
        </w:rPr>
        <w:t>{</w:t>
      </w:r>
      <w:r w:rsidRPr="00A95AA2">
        <w:rPr>
          <w:b/>
        </w:rPr>
        <w:t>(2,2)</w:t>
      </w:r>
      <w:r>
        <w:rPr>
          <w:b/>
        </w:rPr>
        <w:t>}</w:t>
      </w:r>
      <w:r w:rsidRPr="00A95AA2">
        <w:rPr>
          <w:b/>
        </w:rPr>
        <w:t>.</w:t>
      </w:r>
      <w:r>
        <w:rPr>
          <w:b/>
        </w:rPr>
        <w:t xml:space="preserve"> The maximum DL data rate of 30</w:t>
      </w:r>
      <w:r w:rsidRPr="00A95AA2">
        <w:rPr>
          <w:b/>
        </w:rPr>
        <w:t xml:space="preserve"> kHz SCS PDCCH scheduling 120 kHz SCS PDS</w:t>
      </w:r>
      <w:r>
        <w:rPr>
          <w:b/>
        </w:rPr>
        <w:t>CH is achievable with FG 3-5b {(7,3</w:t>
      </w:r>
      <w:r w:rsidRPr="00A95AA2">
        <w:rPr>
          <w:b/>
        </w:rPr>
        <w:t>)</w:t>
      </w:r>
      <w:r>
        <w:rPr>
          <w:b/>
        </w:rPr>
        <w:t>}</w:t>
      </w:r>
      <w:r w:rsidRPr="00A95AA2">
        <w:rPr>
          <w:b/>
        </w:rPr>
        <w:t>.</w:t>
      </w:r>
    </w:p>
    <w:p w:rsidR="001A062F" w:rsidRDefault="001A062F" w:rsidP="001A062F">
      <w:pPr>
        <w:spacing w:before="120"/>
        <w:rPr>
          <w:b/>
        </w:rPr>
      </w:pPr>
    </w:p>
    <w:p w:rsidR="001A062F" w:rsidRDefault="001A062F" w:rsidP="001A062F">
      <w:pPr>
        <w:rPr>
          <w:b/>
        </w:rPr>
      </w:pPr>
      <w:r w:rsidRPr="00FC242C">
        <w:rPr>
          <w:b/>
          <w:u w:val="single"/>
        </w:rPr>
        <w:t>Proposal</w:t>
      </w:r>
      <w:r>
        <w:rPr>
          <w:b/>
          <w:u w:val="single"/>
        </w:rPr>
        <w:t xml:space="preserve"> 1</w:t>
      </w:r>
      <w:r w:rsidRPr="00FC242C">
        <w:rPr>
          <w:b/>
          <w:u w:val="single"/>
        </w:rPr>
        <w:t>:</w:t>
      </w:r>
      <w:r w:rsidRPr="00FC242C">
        <w:rPr>
          <w:b/>
        </w:rPr>
        <w:t xml:space="preserve"> </w:t>
      </w:r>
      <w:r>
        <w:rPr>
          <w:b/>
        </w:rPr>
        <w:t xml:space="preserve">Do not </w:t>
      </w:r>
      <w:r w:rsidRPr="00A95AA2">
        <w:rPr>
          <w:b/>
        </w:rPr>
        <w:t>define new rules on top of FG 3-5b or increase the number of valid DCIs per monitoring occasion to per scheduled cell</w:t>
      </w:r>
      <w:r>
        <w:rPr>
          <w:b/>
        </w:rPr>
        <w:t xml:space="preserve"> for cross carrier scheduling with different numerology</w:t>
      </w:r>
      <w:r w:rsidRPr="00A95AA2">
        <w:rPr>
          <w:b/>
        </w:rPr>
        <w:t>.</w:t>
      </w:r>
    </w:p>
    <w:p w:rsidR="001A062F" w:rsidRDefault="001A062F" w:rsidP="001A062F">
      <w:pPr>
        <w:rPr>
          <w:b/>
        </w:rPr>
      </w:pPr>
    </w:p>
    <w:p w:rsidR="001A062F" w:rsidRPr="001A062F" w:rsidRDefault="001A062F" w:rsidP="001A062F">
      <w:pPr>
        <w:rPr>
          <w:b/>
        </w:rPr>
      </w:pPr>
      <w:r w:rsidRPr="001A062F">
        <w:rPr>
          <w:b/>
          <w:u w:val="single"/>
        </w:rPr>
        <w:t>Proposal 2:</w:t>
      </w:r>
      <w:r w:rsidRPr="001A062F">
        <w:rPr>
          <w:b/>
        </w:rPr>
        <w:t xml:space="preserve"> The last PDSCH slot that overlaps with the PDCCH slot containing the SPS PDSCH release is used to determine the location of the HARQ-ACK for SPS PDSCH release in HARQ-ACK Type-1 codebook when PDSCH and PDCCH are different numerologies.</w:t>
      </w:r>
    </w:p>
    <w:p w:rsidR="001A062F" w:rsidRPr="001A062F" w:rsidRDefault="001A062F" w:rsidP="001A062F">
      <w:pPr>
        <w:rPr>
          <w:b/>
        </w:rPr>
      </w:pPr>
    </w:p>
    <w:p w:rsidR="001A062F" w:rsidRDefault="001A062F" w:rsidP="001A062F">
      <w:pPr>
        <w:rPr>
          <w:b/>
        </w:rPr>
      </w:pPr>
      <w:r w:rsidRPr="001A062F">
        <w:rPr>
          <w:b/>
          <w:u w:val="single"/>
        </w:rPr>
        <w:t>Proposal 3:</w:t>
      </w:r>
      <w:r w:rsidRPr="001A062F">
        <w:rPr>
          <w:b/>
        </w:rPr>
        <w:t xml:space="preserve"> The last PDSCH slot that overlaps with the PDCCH slot containing the SPS PDSCH release is the reference slot used to determine PUCCH Tx slot for SPS PDSCH release HARQ-ACK reporting in HARQ-ACK Type-1 codebook when PDSCH, PDCCH and PUCCH are different numerologies.</w:t>
      </w:r>
    </w:p>
    <w:p w:rsidR="001A062F" w:rsidRDefault="001A062F" w:rsidP="001A062F">
      <w:pPr>
        <w:rPr>
          <w:b/>
        </w:rPr>
      </w:pPr>
    </w:p>
    <w:p w:rsidR="001A062F" w:rsidRDefault="00905E1B" w:rsidP="001A062F">
      <w:pPr>
        <w:rPr>
          <w:b/>
          <w:szCs w:val="20"/>
        </w:rPr>
      </w:pPr>
      <w:r w:rsidRPr="00905E1B">
        <w:rPr>
          <w:b/>
          <w:u w:val="single"/>
        </w:rPr>
        <w:t>Proposal 4:</w:t>
      </w:r>
      <w:r w:rsidRPr="00905E1B">
        <w:rPr>
          <w:b/>
        </w:rPr>
        <w:t xml:space="preserve"> </w:t>
      </w:r>
      <w:r w:rsidRPr="00905E1B">
        <w:rPr>
          <w:b/>
          <w:szCs w:val="20"/>
        </w:rPr>
        <w:t>For high-SCS to low-SCS scheduling, th</w:t>
      </w:r>
      <w:bookmarkStart w:id="3" w:name="_GoBack"/>
      <w:bookmarkEnd w:id="3"/>
      <w:r w:rsidRPr="00905E1B">
        <w:rPr>
          <w:b/>
          <w:szCs w:val="20"/>
        </w:rPr>
        <w:t>e delta for 120 kHz SCS PDCCH: [16] symbols</w:t>
      </w:r>
    </w:p>
    <w:p w:rsidR="00B84139" w:rsidRDefault="00B84139" w:rsidP="001A062F">
      <w:pPr>
        <w:rPr>
          <w:b/>
          <w:szCs w:val="20"/>
        </w:rPr>
      </w:pPr>
    </w:p>
    <w:p w:rsidR="00B84139" w:rsidRPr="001A062F" w:rsidRDefault="00B84139" w:rsidP="001A062F">
      <w:pPr>
        <w:rPr>
          <w:b/>
        </w:rPr>
      </w:pPr>
      <w:r>
        <w:rPr>
          <w:b/>
          <w:u w:val="single"/>
        </w:rPr>
        <w:t>Proposal 5</w:t>
      </w:r>
      <w:r w:rsidRPr="00D569AD">
        <w:rPr>
          <w:b/>
          <w:u w:val="single"/>
        </w:rPr>
        <w:t>:</w:t>
      </w:r>
      <w:r w:rsidRPr="00B84139">
        <w:rPr>
          <w:b/>
        </w:rPr>
        <w:t xml:space="preserve"> </w:t>
      </w:r>
      <w:r>
        <w:rPr>
          <w:b/>
        </w:rPr>
        <w:t xml:space="preserve">Set the </w:t>
      </w:r>
      <w:r w:rsidRPr="000B2CAA">
        <w:rPr>
          <w:b/>
        </w:rPr>
        <w:t xml:space="preserve">additional number of symbols added to the UE reported beamSwitchTiming when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PDSCH</m:t>
            </m:r>
          </m:sub>
        </m:sSub>
      </m:oMath>
      <w:r w:rsidRPr="000B2CAA">
        <w:rPr>
          <w:b/>
        </w:rPr>
        <w:t xml:space="preserve"> &gt;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PDCCH</m:t>
            </m:r>
          </m:sub>
        </m:sSub>
      </m:oMath>
      <w:r>
        <w:rPr>
          <w:b/>
        </w:rPr>
        <w:t xml:space="preserve">, </w:t>
      </w:r>
      <w:r w:rsidRPr="000F1295">
        <w:rPr>
          <w:b/>
        </w:rPr>
        <w:t xml:space="preserve">which means </w:t>
      </w:r>
      <m:oMath>
        <m:sSub>
          <m:sSubPr>
            <m:ctrlPr>
              <w:rPr>
                <w:rFonts w:ascii="Cambria Math" w:hAnsi="Cambria Math"/>
                <w:b/>
              </w:rPr>
            </m:ctrlPr>
          </m:sSubPr>
          <m:e>
            <m:r>
              <m:rPr>
                <m:sty m:val="bi"/>
              </m:rPr>
              <w:rPr>
                <w:rFonts w:ascii="Cambria Math" w:hAnsi="Cambria Math"/>
              </w:rPr>
              <m:t>m</m:t>
            </m:r>
          </m:e>
          <m:sub>
            <m:r>
              <m:rPr>
                <m:sty m:val="b"/>
              </m:rPr>
              <w:rPr>
                <w:rFonts w:ascii="Cambria Math" w:hAnsi="Cambria Math"/>
              </w:rPr>
              <m:t>1</m:t>
            </m:r>
          </m:sub>
        </m:sSub>
      </m:oMath>
      <w:r w:rsidRPr="000F1295">
        <w:rPr>
          <w:b/>
        </w:rPr>
        <w:t>, to be 14.</w:t>
      </w:r>
    </w:p>
    <w:p w:rsidR="001E78EB" w:rsidRDefault="003F1347" w:rsidP="003F1347">
      <w:pPr>
        <w:pStyle w:val="1"/>
        <w:rPr>
          <w:rFonts w:eastAsia="新細明體" w:cs="Arial"/>
          <w:color w:val="000000" w:themeColor="text1"/>
          <w:lang w:eastAsia="zh-TW"/>
        </w:rPr>
      </w:pPr>
      <w:r>
        <w:rPr>
          <w:rFonts w:eastAsia="新細明體" w:cs="Arial"/>
          <w:color w:val="000000" w:themeColor="text1"/>
          <w:lang w:eastAsia="zh-TW"/>
        </w:rPr>
        <w:t>Reference</w:t>
      </w:r>
    </w:p>
    <w:p w:rsidR="0009037A" w:rsidRDefault="0009037A" w:rsidP="00E5123C">
      <w:pPr>
        <w:pStyle w:val="References"/>
        <w:rPr>
          <w:lang w:val="en-GB"/>
        </w:rPr>
      </w:pPr>
      <w:r>
        <w:t>R1-1909311</w:t>
      </w:r>
      <w:r>
        <w:tab/>
        <w:t>UE feature discussion for cross-carrier scheduling with different numerologies</w:t>
      </w:r>
      <w:r>
        <w:tab/>
        <w:t>Huawei, HiSilicon</w:t>
      </w:r>
      <w:r w:rsidR="00937044">
        <w:t>.</w:t>
      </w:r>
    </w:p>
    <w:p w:rsidR="00937044" w:rsidRDefault="00937044" w:rsidP="00937044">
      <w:pPr>
        <w:pStyle w:val="References"/>
        <w:rPr>
          <w:lang w:val="en-GB"/>
        </w:rPr>
      </w:pPr>
      <w:r>
        <w:rPr>
          <w:lang w:val="en-GB"/>
        </w:rPr>
        <w:t>Chairman’s Notes, RAN1 #98-bis.</w:t>
      </w:r>
    </w:p>
    <w:p w:rsidR="009120A3" w:rsidRPr="00F47B95" w:rsidRDefault="009120A3" w:rsidP="009120A3">
      <w:pPr>
        <w:pStyle w:val="References"/>
        <w:numPr>
          <w:ilvl w:val="0"/>
          <w:numId w:val="0"/>
        </w:numPr>
      </w:pPr>
    </w:p>
    <w:sectPr w:rsidR="009120A3" w:rsidRPr="00F47B95"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BFB" w:rsidRDefault="00777BFB" w:rsidP="007003B8">
      <w:r>
        <w:separator/>
      </w:r>
    </w:p>
  </w:endnote>
  <w:endnote w:type="continuationSeparator" w:id="0">
    <w:p w:rsidR="00777BFB" w:rsidRDefault="00777BFB"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BFB" w:rsidRDefault="00777BFB" w:rsidP="007003B8">
      <w:r>
        <w:separator/>
      </w:r>
    </w:p>
  </w:footnote>
  <w:footnote w:type="continuationSeparator" w:id="0">
    <w:p w:rsidR="00777BFB" w:rsidRDefault="00777BFB"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678E"/>
    <w:multiLevelType w:val="hybridMultilevel"/>
    <w:tmpl w:val="CA5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53D1D"/>
    <w:multiLevelType w:val="hybridMultilevel"/>
    <w:tmpl w:val="95D46584"/>
    <w:lvl w:ilvl="0" w:tplc="CE4A9A98">
      <w:start w:val="1"/>
      <w:numFmt w:val="decimal"/>
      <w:lvlText w:val="%1."/>
      <w:lvlJc w:val="left"/>
      <w:pPr>
        <w:tabs>
          <w:tab w:val="num" w:pos="720"/>
        </w:tabs>
        <w:ind w:left="720" w:hanging="360"/>
      </w:pPr>
    </w:lvl>
    <w:lvl w:ilvl="1" w:tplc="33D24564" w:tentative="1">
      <w:start w:val="1"/>
      <w:numFmt w:val="decimal"/>
      <w:lvlText w:val="%2."/>
      <w:lvlJc w:val="left"/>
      <w:pPr>
        <w:tabs>
          <w:tab w:val="num" w:pos="1440"/>
        </w:tabs>
        <w:ind w:left="1440" w:hanging="360"/>
      </w:pPr>
    </w:lvl>
    <w:lvl w:ilvl="2" w:tplc="8E4C79C2" w:tentative="1">
      <w:start w:val="1"/>
      <w:numFmt w:val="decimal"/>
      <w:lvlText w:val="%3."/>
      <w:lvlJc w:val="left"/>
      <w:pPr>
        <w:tabs>
          <w:tab w:val="num" w:pos="2160"/>
        </w:tabs>
        <w:ind w:left="2160" w:hanging="360"/>
      </w:pPr>
    </w:lvl>
    <w:lvl w:ilvl="3" w:tplc="75E2E0F6" w:tentative="1">
      <w:start w:val="1"/>
      <w:numFmt w:val="decimal"/>
      <w:lvlText w:val="%4."/>
      <w:lvlJc w:val="left"/>
      <w:pPr>
        <w:tabs>
          <w:tab w:val="num" w:pos="2880"/>
        </w:tabs>
        <w:ind w:left="2880" w:hanging="360"/>
      </w:pPr>
    </w:lvl>
    <w:lvl w:ilvl="4" w:tplc="DFA8DF24" w:tentative="1">
      <w:start w:val="1"/>
      <w:numFmt w:val="decimal"/>
      <w:lvlText w:val="%5."/>
      <w:lvlJc w:val="left"/>
      <w:pPr>
        <w:tabs>
          <w:tab w:val="num" w:pos="3600"/>
        </w:tabs>
        <w:ind w:left="3600" w:hanging="360"/>
      </w:pPr>
    </w:lvl>
    <w:lvl w:ilvl="5" w:tplc="28DE2D16" w:tentative="1">
      <w:start w:val="1"/>
      <w:numFmt w:val="decimal"/>
      <w:lvlText w:val="%6."/>
      <w:lvlJc w:val="left"/>
      <w:pPr>
        <w:tabs>
          <w:tab w:val="num" w:pos="4320"/>
        </w:tabs>
        <w:ind w:left="4320" w:hanging="360"/>
      </w:pPr>
    </w:lvl>
    <w:lvl w:ilvl="6" w:tplc="F17AA04C" w:tentative="1">
      <w:start w:val="1"/>
      <w:numFmt w:val="decimal"/>
      <w:lvlText w:val="%7."/>
      <w:lvlJc w:val="left"/>
      <w:pPr>
        <w:tabs>
          <w:tab w:val="num" w:pos="5040"/>
        </w:tabs>
        <w:ind w:left="5040" w:hanging="360"/>
      </w:pPr>
    </w:lvl>
    <w:lvl w:ilvl="7" w:tplc="FFB096CC" w:tentative="1">
      <w:start w:val="1"/>
      <w:numFmt w:val="decimal"/>
      <w:lvlText w:val="%8."/>
      <w:lvlJc w:val="left"/>
      <w:pPr>
        <w:tabs>
          <w:tab w:val="num" w:pos="5760"/>
        </w:tabs>
        <w:ind w:left="5760" w:hanging="360"/>
      </w:pPr>
    </w:lvl>
    <w:lvl w:ilvl="8" w:tplc="93F81930" w:tentative="1">
      <w:start w:val="1"/>
      <w:numFmt w:val="decimal"/>
      <w:lvlText w:val="%9."/>
      <w:lvlJc w:val="left"/>
      <w:pPr>
        <w:tabs>
          <w:tab w:val="num" w:pos="6480"/>
        </w:tabs>
        <w:ind w:left="6480" w:hanging="360"/>
      </w:pPr>
    </w:lvl>
  </w:abstractNum>
  <w:abstractNum w:abstractNumId="2"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FB10DE"/>
    <w:multiLevelType w:val="hybridMultilevel"/>
    <w:tmpl w:val="878EFCE4"/>
    <w:lvl w:ilvl="0" w:tplc="43D6CB38">
      <w:start w:val="1"/>
      <w:numFmt w:val="decimal"/>
      <w:lvlText w:val="%1."/>
      <w:lvlJc w:val="left"/>
      <w:pPr>
        <w:tabs>
          <w:tab w:val="num" w:pos="720"/>
        </w:tabs>
        <w:ind w:left="720" w:hanging="360"/>
      </w:pPr>
    </w:lvl>
    <w:lvl w:ilvl="1" w:tplc="B1209A72" w:tentative="1">
      <w:start w:val="1"/>
      <w:numFmt w:val="decimal"/>
      <w:lvlText w:val="%2."/>
      <w:lvlJc w:val="left"/>
      <w:pPr>
        <w:tabs>
          <w:tab w:val="num" w:pos="1440"/>
        </w:tabs>
        <w:ind w:left="1440" w:hanging="360"/>
      </w:pPr>
    </w:lvl>
    <w:lvl w:ilvl="2" w:tplc="7260426E" w:tentative="1">
      <w:start w:val="1"/>
      <w:numFmt w:val="decimal"/>
      <w:lvlText w:val="%3."/>
      <w:lvlJc w:val="left"/>
      <w:pPr>
        <w:tabs>
          <w:tab w:val="num" w:pos="2160"/>
        </w:tabs>
        <w:ind w:left="2160" w:hanging="360"/>
      </w:pPr>
    </w:lvl>
    <w:lvl w:ilvl="3" w:tplc="D0947AAE" w:tentative="1">
      <w:start w:val="1"/>
      <w:numFmt w:val="decimal"/>
      <w:lvlText w:val="%4."/>
      <w:lvlJc w:val="left"/>
      <w:pPr>
        <w:tabs>
          <w:tab w:val="num" w:pos="2880"/>
        </w:tabs>
        <w:ind w:left="2880" w:hanging="360"/>
      </w:pPr>
    </w:lvl>
    <w:lvl w:ilvl="4" w:tplc="06F2DB22" w:tentative="1">
      <w:start w:val="1"/>
      <w:numFmt w:val="decimal"/>
      <w:lvlText w:val="%5."/>
      <w:lvlJc w:val="left"/>
      <w:pPr>
        <w:tabs>
          <w:tab w:val="num" w:pos="3600"/>
        </w:tabs>
        <w:ind w:left="3600" w:hanging="360"/>
      </w:pPr>
    </w:lvl>
    <w:lvl w:ilvl="5" w:tplc="41364558" w:tentative="1">
      <w:start w:val="1"/>
      <w:numFmt w:val="decimal"/>
      <w:lvlText w:val="%6."/>
      <w:lvlJc w:val="left"/>
      <w:pPr>
        <w:tabs>
          <w:tab w:val="num" w:pos="4320"/>
        </w:tabs>
        <w:ind w:left="4320" w:hanging="360"/>
      </w:pPr>
    </w:lvl>
    <w:lvl w:ilvl="6" w:tplc="C124FD4A" w:tentative="1">
      <w:start w:val="1"/>
      <w:numFmt w:val="decimal"/>
      <w:lvlText w:val="%7."/>
      <w:lvlJc w:val="left"/>
      <w:pPr>
        <w:tabs>
          <w:tab w:val="num" w:pos="5040"/>
        </w:tabs>
        <w:ind w:left="5040" w:hanging="360"/>
      </w:pPr>
    </w:lvl>
    <w:lvl w:ilvl="7" w:tplc="845AEF50" w:tentative="1">
      <w:start w:val="1"/>
      <w:numFmt w:val="decimal"/>
      <w:lvlText w:val="%8."/>
      <w:lvlJc w:val="left"/>
      <w:pPr>
        <w:tabs>
          <w:tab w:val="num" w:pos="5760"/>
        </w:tabs>
        <w:ind w:left="5760" w:hanging="360"/>
      </w:pPr>
    </w:lvl>
    <w:lvl w:ilvl="8" w:tplc="7160CD4A" w:tentative="1">
      <w:start w:val="1"/>
      <w:numFmt w:val="decimal"/>
      <w:lvlText w:val="%9."/>
      <w:lvlJc w:val="left"/>
      <w:pPr>
        <w:tabs>
          <w:tab w:val="num" w:pos="6480"/>
        </w:tabs>
        <w:ind w:left="6480" w:hanging="360"/>
      </w:pPr>
    </w:lvl>
  </w:abstractNum>
  <w:abstractNum w:abstractNumId="4"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E167FBF"/>
    <w:multiLevelType w:val="hybridMultilevel"/>
    <w:tmpl w:val="24A64A76"/>
    <w:lvl w:ilvl="0" w:tplc="EE908A50">
      <w:start w:val="1"/>
      <w:numFmt w:val="decimal"/>
      <w:lvlText w:val="%1."/>
      <w:lvlJc w:val="left"/>
      <w:pPr>
        <w:tabs>
          <w:tab w:val="num" w:pos="720"/>
        </w:tabs>
        <w:ind w:left="720" w:hanging="360"/>
      </w:pPr>
    </w:lvl>
    <w:lvl w:ilvl="1" w:tplc="B39CEE3A" w:tentative="1">
      <w:start w:val="1"/>
      <w:numFmt w:val="decimal"/>
      <w:lvlText w:val="%2."/>
      <w:lvlJc w:val="left"/>
      <w:pPr>
        <w:tabs>
          <w:tab w:val="num" w:pos="1440"/>
        </w:tabs>
        <w:ind w:left="1440" w:hanging="360"/>
      </w:pPr>
    </w:lvl>
    <w:lvl w:ilvl="2" w:tplc="CFE65BF4" w:tentative="1">
      <w:start w:val="1"/>
      <w:numFmt w:val="decimal"/>
      <w:lvlText w:val="%3."/>
      <w:lvlJc w:val="left"/>
      <w:pPr>
        <w:tabs>
          <w:tab w:val="num" w:pos="2160"/>
        </w:tabs>
        <w:ind w:left="2160" w:hanging="360"/>
      </w:pPr>
    </w:lvl>
    <w:lvl w:ilvl="3" w:tplc="03A40112" w:tentative="1">
      <w:start w:val="1"/>
      <w:numFmt w:val="decimal"/>
      <w:lvlText w:val="%4."/>
      <w:lvlJc w:val="left"/>
      <w:pPr>
        <w:tabs>
          <w:tab w:val="num" w:pos="2880"/>
        </w:tabs>
        <w:ind w:left="2880" w:hanging="360"/>
      </w:pPr>
    </w:lvl>
    <w:lvl w:ilvl="4" w:tplc="81FE4BEE" w:tentative="1">
      <w:start w:val="1"/>
      <w:numFmt w:val="decimal"/>
      <w:lvlText w:val="%5."/>
      <w:lvlJc w:val="left"/>
      <w:pPr>
        <w:tabs>
          <w:tab w:val="num" w:pos="3600"/>
        </w:tabs>
        <w:ind w:left="3600" w:hanging="360"/>
      </w:pPr>
    </w:lvl>
    <w:lvl w:ilvl="5" w:tplc="3A88E42E" w:tentative="1">
      <w:start w:val="1"/>
      <w:numFmt w:val="decimal"/>
      <w:lvlText w:val="%6."/>
      <w:lvlJc w:val="left"/>
      <w:pPr>
        <w:tabs>
          <w:tab w:val="num" w:pos="4320"/>
        </w:tabs>
        <w:ind w:left="4320" w:hanging="360"/>
      </w:pPr>
    </w:lvl>
    <w:lvl w:ilvl="6" w:tplc="7786D74C" w:tentative="1">
      <w:start w:val="1"/>
      <w:numFmt w:val="decimal"/>
      <w:lvlText w:val="%7."/>
      <w:lvlJc w:val="left"/>
      <w:pPr>
        <w:tabs>
          <w:tab w:val="num" w:pos="5040"/>
        </w:tabs>
        <w:ind w:left="5040" w:hanging="360"/>
      </w:pPr>
    </w:lvl>
    <w:lvl w:ilvl="7" w:tplc="FE826414" w:tentative="1">
      <w:start w:val="1"/>
      <w:numFmt w:val="decimal"/>
      <w:lvlText w:val="%8."/>
      <w:lvlJc w:val="left"/>
      <w:pPr>
        <w:tabs>
          <w:tab w:val="num" w:pos="5760"/>
        </w:tabs>
        <w:ind w:left="5760" w:hanging="360"/>
      </w:pPr>
    </w:lvl>
    <w:lvl w:ilvl="8" w:tplc="B2D04B06" w:tentative="1">
      <w:start w:val="1"/>
      <w:numFmt w:val="decimal"/>
      <w:lvlText w:val="%9."/>
      <w:lvlJc w:val="left"/>
      <w:pPr>
        <w:tabs>
          <w:tab w:val="num" w:pos="6480"/>
        </w:tabs>
        <w:ind w:left="6480" w:hanging="360"/>
      </w:pPr>
    </w:lvl>
  </w:abstractNum>
  <w:abstractNum w:abstractNumId="11"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E52DCE"/>
    <w:multiLevelType w:val="hybridMultilevel"/>
    <w:tmpl w:val="CE542B84"/>
    <w:lvl w:ilvl="0" w:tplc="CE449DD6">
      <w:start w:val="1"/>
      <w:numFmt w:val="bullet"/>
      <w:lvlText w:val="•"/>
      <w:lvlJc w:val="left"/>
      <w:pPr>
        <w:tabs>
          <w:tab w:val="num" w:pos="720"/>
        </w:tabs>
        <w:ind w:left="720" w:hanging="360"/>
      </w:pPr>
      <w:rPr>
        <w:rFonts w:ascii="Arial" w:hAnsi="Arial" w:cs="Times New Roman" w:hint="default"/>
      </w:rPr>
    </w:lvl>
    <w:lvl w:ilvl="1" w:tplc="94C60D6E">
      <w:start w:val="142"/>
      <w:numFmt w:val="bullet"/>
      <w:lvlText w:val="–"/>
      <w:lvlJc w:val="left"/>
      <w:pPr>
        <w:tabs>
          <w:tab w:val="num" w:pos="1440"/>
        </w:tabs>
        <w:ind w:left="1440" w:hanging="360"/>
      </w:pPr>
      <w:rPr>
        <w:rFonts w:ascii="Arial" w:hAnsi="Arial" w:cs="Times New Roman" w:hint="default"/>
      </w:rPr>
    </w:lvl>
    <w:lvl w:ilvl="2" w:tplc="B85AE6F0">
      <w:start w:val="1"/>
      <w:numFmt w:val="bullet"/>
      <w:lvlText w:val="•"/>
      <w:lvlJc w:val="left"/>
      <w:pPr>
        <w:tabs>
          <w:tab w:val="num" w:pos="2160"/>
        </w:tabs>
        <w:ind w:left="2160" w:hanging="360"/>
      </w:pPr>
      <w:rPr>
        <w:rFonts w:ascii="Arial" w:hAnsi="Arial" w:cs="Times New Roman" w:hint="default"/>
      </w:rPr>
    </w:lvl>
    <w:lvl w:ilvl="3" w:tplc="1C985BF6">
      <w:start w:val="1"/>
      <w:numFmt w:val="bullet"/>
      <w:lvlText w:val="•"/>
      <w:lvlJc w:val="left"/>
      <w:pPr>
        <w:tabs>
          <w:tab w:val="num" w:pos="2880"/>
        </w:tabs>
        <w:ind w:left="2880" w:hanging="360"/>
      </w:pPr>
      <w:rPr>
        <w:rFonts w:ascii="Arial" w:hAnsi="Arial" w:cs="Times New Roman" w:hint="default"/>
      </w:rPr>
    </w:lvl>
    <w:lvl w:ilvl="4" w:tplc="6B844228">
      <w:start w:val="1"/>
      <w:numFmt w:val="bullet"/>
      <w:lvlText w:val="•"/>
      <w:lvlJc w:val="left"/>
      <w:pPr>
        <w:tabs>
          <w:tab w:val="num" w:pos="3600"/>
        </w:tabs>
        <w:ind w:left="3600" w:hanging="360"/>
      </w:pPr>
      <w:rPr>
        <w:rFonts w:ascii="Arial" w:hAnsi="Arial" w:cs="Times New Roman" w:hint="default"/>
      </w:rPr>
    </w:lvl>
    <w:lvl w:ilvl="5" w:tplc="87684AC0">
      <w:start w:val="1"/>
      <w:numFmt w:val="bullet"/>
      <w:lvlText w:val="•"/>
      <w:lvlJc w:val="left"/>
      <w:pPr>
        <w:tabs>
          <w:tab w:val="num" w:pos="4320"/>
        </w:tabs>
        <w:ind w:left="4320" w:hanging="360"/>
      </w:pPr>
      <w:rPr>
        <w:rFonts w:ascii="Arial" w:hAnsi="Arial" w:cs="Times New Roman" w:hint="default"/>
      </w:rPr>
    </w:lvl>
    <w:lvl w:ilvl="6" w:tplc="35CEADFC">
      <w:start w:val="1"/>
      <w:numFmt w:val="bullet"/>
      <w:lvlText w:val="•"/>
      <w:lvlJc w:val="left"/>
      <w:pPr>
        <w:tabs>
          <w:tab w:val="num" w:pos="5040"/>
        </w:tabs>
        <w:ind w:left="5040" w:hanging="360"/>
      </w:pPr>
      <w:rPr>
        <w:rFonts w:ascii="Arial" w:hAnsi="Arial" w:cs="Times New Roman" w:hint="default"/>
      </w:rPr>
    </w:lvl>
    <w:lvl w:ilvl="7" w:tplc="0C5469AC">
      <w:start w:val="1"/>
      <w:numFmt w:val="bullet"/>
      <w:lvlText w:val="•"/>
      <w:lvlJc w:val="left"/>
      <w:pPr>
        <w:tabs>
          <w:tab w:val="num" w:pos="5760"/>
        </w:tabs>
        <w:ind w:left="5760" w:hanging="360"/>
      </w:pPr>
      <w:rPr>
        <w:rFonts w:ascii="Arial" w:hAnsi="Arial" w:cs="Times New Roman" w:hint="default"/>
      </w:rPr>
    </w:lvl>
    <w:lvl w:ilvl="8" w:tplc="818C74D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437566"/>
    <w:multiLevelType w:val="hybridMultilevel"/>
    <w:tmpl w:val="5574C08A"/>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start w:val="1"/>
      <w:numFmt w:val="bullet"/>
      <w:lvlText w:val="•"/>
      <w:lvlJc w:val="left"/>
      <w:pPr>
        <w:tabs>
          <w:tab w:val="num" w:pos="2520"/>
        </w:tabs>
        <w:ind w:left="2520" w:hanging="360"/>
      </w:pPr>
      <w:rPr>
        <w:rFonts w:ascii="Arial" w:hAnsi="Arial" w:hint="default"/>
      </w:rPr>
    </w:lvl>
    <w:lvl w:ilvl="3" w:tplc="1DEC4092">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C94700"/>
    <w:multiLevelType w:val="hybridMultilevel"/>
    <w:tmpl w:val="34C6FED2"/>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16"/>
  </w:num>
  <w:num w:numId="5">
    <w:abstractNumId w:val="10"/>
  </w:num>
  <w:num w:numId="6">
    <w:abstractNumId w:val="3"/>
  </w:num>
  <w:num w:numId="7">
    <w:abstractNumId w:val="6"/>
  </w:num>
  <w:num w:numId="8">
    <w:abstractNumId w:val="12"/>
  </w:num>
  <w:num w:numId="9">
    <w:abstractNumId w:val="0"/>
  </w:num>
  <w:num w:numId="10">
    <w:abstractNumId w:val="1"/>
  </w:num>
  <w:num w:numId="11">
    <w:abstractNumId w:val="14"/>
  </w:num>
  <w:num w:numId="12">
    <w:abstractNumId w:val="11"/>
  </w:num>
  <w:num w:numId="13">
    <w:abstractNumId w:val="8"/>
  </w:num>
  <w:num w:numId="14">
    <w:abstractNumId w:val="17"/>
  </w:num>
  <w:num w:numId="15">
    <w:abstractNumId w:val="18"/>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9"/>
  </w:num>
  <w:num w:numId="1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2193"/>
    <w:rsid w:val="00004F6B"/>
    <w:rsid w:val="00005C7D"/>
    <w:rsid w:val="00007986"/>
    <w:rsid w:val="00010D0F"/>
    <w:rsid w:val="000129D3"/>
    <w:rsid w:val="00015301"/>
    <w:rsid w:val="0001537E"/>
    <w:rsid w:val="00021033"/>
    <w:rsid w:val="00024795"/>
    <w:rsid w:val="00026511"/>
    <w:rsid w:val="0002667F"/>
    <w:rsid w:val="00027563"/>
    <w:rsid w:val="00032400"/>
    <w:rsid w:val="00032AAF"/>
    <w:rsid w:val="00035608"/>
    <w:rsid w:val="00036984"/>
    <w:rsid w:val="00036ACE"/>
    <w:rsid w:val="00040DE7"/>
    <w:rsid w:val="00044F16"/>
    <w:rsid w:val="000457A5"/>
    <w:rsid w:val="000466EC"/>
    <w:rsid w:val="00046E19"/>
    <w:rsid w:val="00047956"/>
    <w:rsid w:val="00050190"/>
    <w:rsid w:val="0005076E"/>
    <w:rsid w:val="00050F19"/>
    <w:rsid w:val="0005225C"/>
    <w:rsid w:val="00054B03"/>
    <w:rsid w:val="00054D57"/>
    <w:rsid w:val="000575D4"/>
    <w:rsid w:val="00061A81"/>
    <w:rsid w:val="00062BC9"/>
    <w:rsid w:val="000631DA"/>
    <w:rsid w:val="00063E95"/>
    <w:rsid w:val="000653B6"/>
    <w:rsid w:val="00067DE7"/>
    <w:rsid w:val="00067EA8"/>
    <w:rsid w:val="0007212B"/>
    <w:rsid w:val="00073846"/>
    <w:rsid w:val="00074108"/>
    <w:rsid w:val="0007411A"/>
    <w:rsid w:val="00076FBC"/>
    <w:rsid w:val="00082F23"/>
    <w:rsid w:val="00083802"/>
    <w:rsid w:val="000859B2"/>
    <w:rsid w:val="00087CF4"/>
    <w:rsid w:val="0009037A"/>
    <w:rsid w:val="00092AA6"/>
    <w:rsid w:val="00092D11"/>
    <w:rsid w:val="000930BA"/>
    <w:rsid w:val="000A167A"/>
    <w:rsid w:val="000A2421"/>
    <w:rsid w:val="000A3E89"/>
    <w:rsid w:val="000A687C"/>
    <w:rsid w:val="000B0EE1"/>
    <w:rsid w:val="000B1224"/>
    <w:rsid w:val="000B1948"/>
    <w:rsid w:val="000B1F3C"/>
    <w:rsid w:val="000B22CB"/>
    <w:rsid w:val="000B5B22"/>
    <w:rsid w:val="000B73B2"/>
    <w:rsid w:val="000C1243"/>
    <w:rsid w:val="000C1BD9"/>
    <w:rsid w:val="000C34FE"/>
    <w:rsid w:val="000C3733"/>
    <w:rsid w:val="000C48A6"/>
    <w:rsid w:val="000C78A7"/>
    <w:rsid w:val="000D1470"/>
    <w:rsid w:val="000D435D"/>
    <w:rsid w:val="000D48E6"/>
    <w:rsid w:val="000D62B8"/>
    <w:rsid w:val="000E145E"/>
    <w:rsid w:val="000E1592"/>
    <w:rsid w:val="000E3D41"/>
    <w:rsid w:val="000E59EE"/>
    <w:rsid w:val="000F141C"/>
    <w:rsid w:val="000F1654"/>
    <w:rsid w:val="000F2C6F"/>
    <w:rsid w:val="000F31AD"/>
    <w:rsid w:val="000F3822"/>
    <w:rsid w:val="00100ADC"/>
    <w:rsid w:val="00104127"/>
    <w:rsid w:val="00110281"/>
    <w:rsid w:val="00111A9C"/>
    <w:rsid w:val="00117807"/>
    <w:rsid w:val="00123B56"/>
    <w:rsid w:val="001253E7"/>
    <w:rsid w:val="00125A47"/>
    <w:rsid w:val="00126B55"/>
    <w:rsid w:val="001276E6"/>
    <w:rsid w:val="00130897"/>
    <w:rsid w:val="001339DA"/>
    <w:rsid w:val="00136CC7"/>
    <w:rsid w:val="0014117A"/>
    <w:rsid w:val="00141E29"/>
    <w:rsid w:val="001465DE"/>
    <w:rsid w:val="00147259"/>
    <w:rsid w:val="00154A41"/>
    <w:rsid w:val="0016361E"/>
    <w:rsid w:val="00163B87"/>
    <w:rsid w:val="00165A15"/>
    <w:rsid w:val="00165D09"/>
    <w:rsid w:val="001706C8"/>
    <w:rsid w:val="00170F0B"/>
    <w:rsid w:val="00171115"/>
    <w:rsid w:val="001732C5"/>
    <w:rsid w:val="00173B6A"/>
    <w:rsid w:val="0017515B"/>
    <w:rsid w:val="00180113"/>
    <w:rsid w:val="001801FA"/>
    <w:rsid w:val="00181666"/>
    <w:rsid w:val="00183557"/>
    <w:rsid w:val="00185907"/>
    <w:rsid w:val="00190EBC"/>
    <w:rsid w:val="00193F5A"/>
    <w:rsid w:val="00194467"/>
    <w:rsid w:val="00194F38"/>
    <w:rsid w:val="00195DDF"/>
    <w:rsid w:val="00197FD8"/>
    <w:rsid w:val="001A017D"/>
    <w:rsid w:val="001A062F"/>
    <w:rsid w:val="001A22DD"/>
    <w:rsid w:val="001B3AE4"/>
    <w:rsid w:val="001B5318"/>
    <w:rsid w:val="001B6D2B"/>
    <w:rsid w:val="001C729D"/>
    <w:rsid w:val="001C7C83"/>
    <w:rsid w:val="001D0EC9"/>
    <w:rsid w:val="001D1713"/>
    <w:rsid w:val="001D443D"/>
    <w:rsid w:val="001D4A4A"/>
    <w:rsid w:val="001D66A7"/>
    <w:rsid w:val="001D6819"/>
    <w:rsid w:val="001E2DD4"/>
    <w:rsid w:val="001E3316"/>
    <w:rsid w:val="001E4FDB"/>
    <w:rsid w:val="001E7114"/>
    <w:rsid w:val="001E73BD"/>
    <w:rsid w:val="001E78EB"/>
    <w:rsid w:val="001F07FD"/>
    <w:rsid w:val="001F10BD"/>
    <w:rsid w:val="001F21E0"/>
    <w:rsid w:val="001F27EA"/>
    <w:rsid w:val="001F31D1"/>
    <w:rsid w:val="001F7E68"/>
    <w:rsid w:val="00204459"/>
    <w:rsid w:val="0020475D"/>
    <w:rsid w:val="00204BBD"/>
    <w:rsid w:val="00210006"/>
    <w:rsid w:val="00210510"/>
    <w:rsid w:val="0021163C"/>
    <w:rsid w:val="0021381A"/>
    <w:rsid w:val="00213C9F"/>
    <w:rsid w:val="00214E5A"/>
    <w:rsid w:val="002229D6"/>
    <w:rsid w:val="00233106"/>
    <w:rsid w:val="002343CD"/>
    <w:rsid w:val="00237BDB"/>
    <w:rsid w:val="00240867"/>
    <w:rsid w:val="00241C14"/>
    <w:rsid w:val="0024207A"/>
    <w:rsid w:val="00242AE1"/>
    <w:rsid w:val="00243B2C"/>
    <w:rsid w:val="0024463F"/>
    <w:rsid w:val="00245176"/>
    <w:rsid w:val="0024671F"/>
    <w:rsid w:val="00251FDE"/>
    <w:rsid w:val="00252769"/>
    <w:rsid w:val="0025296E"/>
    <w:rsid w:val="00253A8C"/>
    <w:rsid w:val="00253FD6"/>
    <w:rsid w:val="00255835"/>
    <w:rsid w:val="00256CBD"/>
    <w:rsid w:val="00261501"/>
    <w:rsid w:val="0026212F"/>
    <w:rsid w:val="00263703"/>
    <w:rsid w:val="0027214E"/>
    <w:rsid w:val="0027229D"/>
    <w:rsid w:val="00273C1E"/>
    <w:rsid w:val="002756A2"/>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A6D2A"/>
    <w:rsid w:val="002B18F0"/>
    <w:rsid w:val="002B1A26"/>
    <w:rsid w:val="002B227C"/>
    <w:rsid w:val="002B39F9"/>
    <w:rsid w:val="002C03E3"/>
    <w:rsid w:val="002C1C21"/>
    <w:rsid w:val="002C26BD"/>
    <w:rsid w:val="002C2AD2"/>
    <w:rsid w:val="002C4390"/>
    <w:rsid w:val="002D0CBF"/>
    <w:rsid w:val="002D1681"/>
    <w:rsid w:val="002D26DE"/>
    <w:rsid w:val="002D4385"/>
    <w:rsid w:val="002D444F"/>
    <w:rsid w:val="002D51D1"/>
    <w:rsid w:val="002D5762"/>
    <w:rsid w:val="002D7403"/>
    <w:rsid w:val="002D742B"/>
    <w:rsid w:val="002E1608"/>
    <w:rsid w:val="002E1AF8"/>
    <w:rsid w:val="002E4850"/>
    <w:rsid w:val="002E59CF"/>
    <w:rsid w:val="002E5B90"/>
    <w:rsid w:val="002E6391"/>
    <w:rsid w:val="002E6EDA"/>
    <w:rsid w:val="002E747D"/>
    <w:rsid w:val="002F0EA4"/>
    <w:rsid w:val="002F5D5F"/>
    <w:rsid w:val="002F703F"/>
    <w:rsid w:val="00300D87"/>
    <w:rsid w:val="00302014"/>
    <w:rsid w:val="003021A5"/>
    <w:rsid w:val="00303BF7"/>
    <w:rsid w:val="003124B8"/>
    <w:rsid w:val="00315349"/>
    <w:rsid w:val="00321744"/>
    <w:rsid w:val="00322788"/>
    <w:rsid w:val="003242F2"/>
    <w:rsid w:val="00325E94"/>
    <w:rsid w:val="003278D7"/>
    <w:rsid w:val="00327D24"/>
    <w:rsid w:val="00330C8F"/>
    <w:rsid w:val="00331401"/>
    <w:rsid w:val="0033156D"/>
    <w:rsid w:val="00333215"/>
    <w:rsid w:val="003350FE"/>
    <w:rsid w:val="00335495"/>
    <w:rsid w:val="003361E2"/>
    <w:rsid w:val="003375F3"/>
    <w:rsid w:val="00341D25"/>
    <w:rsid w:val="003426BA"/>
    <w:rsid w:val="00344D4E"/>
    <w:rsid w:val="0035206F"/>
    <w:rsid w:val="0035347E"/>
    <w:rsid w:val="00353EB2"/>
    <w:rsid w:val="003575CF"/>
    <w:rsid w:val="0036061F"/>
    <w:rsid w:val="00360D6B"/>
    <w:rsid w:val="00360E07"/>
    <w:rsid w:val="00361DD9"/>
    <w:rsid w:val="00361DDB"/>
    <w:rsid w:val="0036490A"/>
    <w:rsid w:val="00364BDB"/>
    <w:rsid w:val="00366005"/>
    <w:rsid w:val="00367D02"/>
    <w:rsid w:val="00372D2B"/>
    <w:rsid w:val="00381206"/>
    <w:rsid w:val="003812DB"/>
    <w:rsid w:val="00381F60"/>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4C2"/>
    <w:rsid w:val="003A44E1"/>
    <w:rsid w:val="003A49AB"/>
    <w:rsid w:val="003A6EF1"/>
    <w:rsid w:val="003B1989"/>
    <w:rsid w:val="003B2191"/>
    <w:rsid w:val="003B2305"/>
    <w:rsid w:val="003B4848"/>
    <w:rsid w:val="003B4F94"/>
    <w:rsid w:val="003C2417"/>
    <w:rsid w:val="003C2939"/>
    <w:rsid w:val="003C394F"/>
    <w:rsid w:val="003C5214"/>
    <w:rsid w:val="003C7537"/>
    <w:rsid w:val="003C7B98"/>
    <w:rsid w:val="003D0425"/>
    <w:rsid w:val="003D052F"/>
    <w:rsid w:val="003D37C4"/>
    <w:rsid w:val="003D5ACE"/>
    <w:rsid w:val="003D6482"/>
    <w:rsid w:val="003E019D"/>
    <w:rsid w:val="003E74E2"/>
    <w:rsid w:val="003F1294"/>
    <w:rsid w:val="003F1347"/>
    <w:rsid w:val="003F21F2"/>
    <w:rsid w:val="003F712E"/>
    <w:rsid w:val="003F7B60"/>
    <w:rsid w:val="00400975"/>
    <w:rsid w:val="00407A61"/>
    <w:rsid w:val="004108E1"/>
    <w:rsid w:val="00410EDC"/>
    <w:rsid w:val="00412189"/>
    <w:rsid w:val="00412A62"/>
    <w:rsid w:val="00412AE0"/>
    <w:rsid w:val="00412E69"/>
    <w:rsid w:val="00413E09"/>
    <w:rsid w:val="004152D0"/>
    <w:rsid w:val="00416AA7"/>
    <w:rsid w:val="00416B53"/>
    <w:rsid w:val="00416D82"/>
    <w:rsid w:val="0041705B"/>
    <w:rsid w:val="0041733B"/>
    <w:rsid w:val="0042001E"/>
    <w:rsid w:val="00421083"/>
    <w:rsid w:val="004218FC"/>
    <w:rsid w:val="004229CC"/>
    <w:rsid w:val="00422EC9"/>
    <w:rsid w:val="004232DC"/>
    <w:rsid w:val="00423CFE"/>
    <w:rsid w:val="00427430"/>
    <w:rsid w:val="00431138"/>
    <w:rsid w:val="00432B19"/>
    <w:rsid w:val="00433B5A"/>
    <w:rsid w:val="00433C66"/>
    <w:rsid w:val="0043498F"/>
    <w:rsid w:val="00434A53"/>
    <w:rsid w:val="004366E1"/>
    <w:rsid w:val="00436CB8"/>
    <w:rsid w:val="00443ECE"/>
    <w:rsid w:val="0044709C"/>
    <w:rsid w:val="00455368"/>
    <w:rsid w:val="004561CC"/>
    <w:rsid w:val="00457D3C"/>
    <w:rsid w:val="00457F84"/>
    <w:rsid w:val="00460214"/>
    <w:rsid w:val="00462871"/>
    <w:rsid w:val="00464366"/>
    <w:rsid w:val="00465AEB"/>
    <w:rsid w:val="00465DD0"/>
    <w:rsid w:val="00465EDD"/>
    <w:rsid w:val="00466132"/>
    <w:rsid w:val="00472339"/>
    <w:rsid w:val="0047357D"/>
    <w:rsid w:val="00474AD4"/>
    <w:rsid w:val="00475159"/>
    <w:rsid w:val="00475B1D"/>
    <w:rsid w:val="004768D3"/>
    <w:rsid w:val="00477123"/>
    <w:rsid w:val="00481AFF"/>
    <w:rsid w:val="00483312"/>
    <w:rsid w:val="00485634"/>
    <w:rsid w:val="004865BC"/>
    <w:rsid w:val="00487B53"/>
    <w:rsid w:val="004918F2"/>
    <w:rsid w:val="00492A2C"/>
    <w:rsid w:val="00493FB0"/>
    <w:rsid w:val="00494DAE"/>
    <w:rsid w:val="004950AF"/>
    <w:rsid w:val="004958E9"/>
    <w:rsid w:val="00495B30"/>
    <w:rsid w:val="00496CCF"/>
    <w:rsid w:val="004974BE"/>
    <w:rsid w:val="004A04F3"/>
    <w:rsid w:val="004A279D"/>
    <w:rsid w:val="004A43BA"/>
    <w:rsid w:val="004B0977"/>
    <w:rsid w:val="004C0687"/>
    <w:rsid w:val="004C19A0"/>
    <w:rsid w:val="004C2CF7"/>
    <w:rsid w:val="004C5CD9"/>
    <w:rsid w:val="004C5EE2"/>
    <w:rsid w:val="004C7B24"/>
    <w:rsid w:val="004D229B"/>
    <w:rsid w:val="004D35AE"/>
    <w:rsid w:val="004D3B5F"/>
    <w:rsid w:val="004D4D20"/>
    <w:rsid w:val="004D581C"/>
    <w:rsid w:val="004D7A8F"/>
    <w:rsid w:val="004D7D53"/>
    <w:rsid w:val="004E1FB9"/>
    <w:rsid w:val="004E22AD"/>
    <w:rsid w:val="004E2708"/>
    <w:rsid w:val="004E3A0B"/>
    <w:rsid w:val="004E6ED1"/>
    <w:rsid w:val="004F44F0"/>
    <w:rsid w:val="004F5096"/>
    <w:rsid w:val="004F5999"/>
    <w:rsid w:val="005004CE"/>
    <w:rsid w:val="005026DC"/>
    <w:rsid w:val="00504D0B"/>
    <w:rsid w:val="00505A22"/>
    <w:rsid w:val="00514DD8"/>
    <w:rsid w:val="00514DFC"/>
    <w:rsid w:val="00515471"/>
    <w:rsid w:val="00516E0C"/>
    <w:rsid w:val="005205AA"/>
    <w:rsid w:val="00521627"/>
    <w:rsid w:val="00522503"/>
    <w:rsid w:val="005227BD"/>
    <w:rsid w:val="005232F2"/>
    <w:rsid w:val="00524946"/>
    <w:rsid w:val="005258E4"/>
    <w:rsid w:val="0053022D"/>
    <w:rsid w:val="005308C6"/>
    <w:rsid w:val="00531479"/>
    <w:rsid w:val="0053285B"/>
    <w:rsid w:val="00533BA1"/>
    <w:rsid w:val="00534658"/>
    <w:rsid w:val="00542A1B"/>
    <w:rsid w:val="00546EBF"/>
    <w:rsid w:val="00551403"/>
    <w:rsid w:val="00552686"/>
    <w:rsid w:val="00552ADB"/>
    <w:rsid w:val="00553319"/>
    <w:rsid w:val="00553BCE"/>
    <w:rsid w:val="00554276"/>
    <w:rsid w:val="00555319"/>
    <w:rsid w:val="00555926"/>
    <w:rsid w:val="005565FA"/>
    <w:rsid w:val="00556C56"/>
    <w:rsid w:val="00561795"/>
    <w:rsid w:val="0056355A"/>
    <w:rsid w:val="00566AC0"/>
    <w:rsid w:val="00567515"/>
    <w:rsid w:val="00573FD2"/>
    <w:rsid w:val="0057665A"/>
    <w:rsid w:val="0057797C"/>
    <w:rsid w:val="0058014D"/>
    <w:rsid w:val="00580B32"/>
    <w:rsid w:val="00582711"/>
    <w:rsid w:val="00584CC4"/>
    <w:rsid w:val="00585468"/>
    <w:rsid w:val="00585771"/>
    <w:rsid w:val="00587939"/>
    <w:rsid w:val="005911EA"/>
    <w:rsid w:val="00591A08"/>
    <w:rsid w:val="00592096"/>
    <w:rsid w:val="0059375F"/>
    <w:rsid w:val="00593824"/>
    <w:rsid w:val="005946D6"/>
    <w:rsid w:val="00596106"/>
    <w:rsid w:val="005A330C"/>
    <w:rsid w:val="005A4A63"/>
    <w:rsid w:val="005A598B"/>
    <w:rsid w:val="005A5DBA"/>
    <w:rsid w:val="005A689F"/>
    <w:rsid w:val="005B108E"/>
    <w:rsid w:val="005B235F"/>
    <w:rsid w:val="005B7DDE"/>
    <w:rsid w:val="005C2000"/>
    <w:rsid w:val="005C5777"/>
    <w:rsid w:val="005D0A38"/>
    <w:rsid w:val="005D1940"/>
    <w:rsid w:val="005D3A07"/>
    <w:rsid w:val="005D4EB3"/>
    <w:rsid w:val="005D6A68"/>
    <w:rsid w:val="005D704B"/>
    <w:rsid w:val="005D7376"/>
    <w:rsid w:val="005D7E08"/>
    <w:rsid w:val="005E0A4D"/>
    <w:rsid w:val="005E0ACA"/>
    <w:rsid w:val="005E0ADF"/>
    <w:rsid w:val="005E23CA"/>
    <w:rsid w:val="005E2B7A"/>
    <w:rsid w:val="005E2CCD"/>
    <w:rsid w:val="005E68D6"/>
    <w:rsid w:val="005E699E"/>
    <w:rsid w:val="005E7796"/>
    <w:rsid w:val="005F07CC"/>
    <w:rsid w:val="005F2214"/>
    <w:rsid w:val="005F2F35"/>
    <w:rsid w:val="005F7029"/>
    <w:rsid w:val="005F7471"/>
    <w:rsid w:val="00601DD9"/>
    <w:rsid w:val="00603052"/>
    <w:rsid w:val="00603D7E"/>
    <w:rsid w:val="006041C7"/>
    <w:rsid w:val="006044FA"/>
    <w:rsid w:val="00604C5F"/>
    <w:rsid w:val="00606080"/>
    <w:rsid w:val="006060D6"/>
    <w:rsid w:val="006101D8"/>
    <w:rsid w:val="006104FA"/>
    <w:rsid w:val="00611E05"/>
    <w:rsid w:val="006135EB"/>
    <w:rsid w:val="00615070"/>
    <w:rsid w:val="0061718F"/>
    <w:rsid w:val="00621749"/>
    <w:rsid w:val="00621F5E"/>
    <w:rsid w:val="00626FE2"/>
    <w:rsid w:val="006316C8"/>
    <w:rsid w:val="00631FB3"/>
    <w:rsid w:val="0063271E"/>
    <w:rsid w:val="006341CB"/>
    <w:rsid w:val="00636C87"/>
    <w:rsid w:val="00637062"/>
    <w:rsid w:val="00637DE3"/>
    <w:rsid w:val="006427AC"/>
    <w:rsid w:val="00643E58"/>
    <w:rsid w:val="00643F63"/>
    <w:rsid w:val="00647FF7"/>
    <w:rsid w:val="006504C2"/>
    <w:rsid w:val="00650F49"/>
    <w:rsid w:val="006510BE"/>
    <w:rsid w:val="00654041"/>
    <w:rsid w:val="006571DE"/>
    <w:rsid w:val="00660462"/>
    <w:rsid w:val="00660950"/>
    <w:rsid w:val="00663AF6"/>
    <w:rsid w:val="00663D07"/>
    <w:rsid w:val="006657E2"/>
    <w:rsid w:val="006707F9"/>
    <w:rsid w:val="00670DE0"/>
    <w:rsid w:val="00672C64"/>
    <w:rsid w:val="00674E92"/>
    <w:rsid w:val="006750D7"/>
    <w:rsid w:val="00680170"/>
    <w:rsid w:val="00680AA6"/>
    <w:rsid w:val="00681C45"/>
    <w:rsid w:val="00682489"/>
    <w:rsid w:val="006850DD"/>
    <w:rsid w:val="006866E9"/>
    <w:rsid w:val="00687F1C"/>
    <w:rsid w:val="006918FD"/>
    <w:rsid w:val="00697CF6"/>
    <w:rsid w:val="006A1CA8"/>
    <w:rsid w:val="006A263B"/>
    <w:rsid w:val="006A2F3C"/>
    <w:rsid w:val="006A4012"/>
    <w:rsid w:val="006A450D"/>
    <w:rsid w:val="006A6633"/>
    <w:rsid w:val="006A683E"/>
    <w:rsid w:val="006A6B65"/>
    <w:rsid w:val="006B02E9"/>
    <w:rsid w:val="006B6699"/>
    <w:rsid w:val="006C2EF4"/>
    <w:rsid w:val="006C3A34"/>
    <w:rsid w:val="006C62BB"/>
    <w:rsid w:val="006D033C"/>
    <w:rsid w:val="006D4248"/>
    <w:rsid w:val="006F1D22"/>
    <w:rsid w:val="006F22DE"/>
    <w:rsid w:val="006F6D79"/>
    <w:rsid w:val="006F6EFE"/>
    <w:rsid w:val="007003B8"/>
    <w:rsid w:val="00700A3C"/>
    <w:rsid w:val="00701F1A"/>
    <w:rsid w:val="0070277B"/>
    <w:rsid w:val="00705B72"/>
    <w:rsid w:val="00707FFD"/>
    <w:rsid w:val="00710507"/>
    <w:rsid w:val="0071257C"/>
    <w:rsid w:val="007128EC"/>
    <w:rsid w:val="007147CF"/>
    <w:rsid w:val="007153CB"/>
    <w:rsid w:val="00715436"/>
    <w:rsid w:val="00717951"/>
    <w:rsid w:val="00720299"/>
    <w:rsid w:val="0072083A"/>
    <w:rsid w:val="00720DC4"/>
    <w:rsid w:val="00722710"/>
    <w:rsid w:val="00722866"/>
    <w:rsid w:val="00723533"/>
    <w:rsid w:val="00725147"/>
    <w:rsid w:val="007257B0"/>
    <w:rsid w:val="0073105E"/>
    <w:rsid w:val="00732C1B"/>
    <w:rsid w:val="00734728"/>
    <w:rsid w:val="00734947"/>
    <w:rsid w:val="00736A8A"/>
    <w:rsid w:val="00740223"/>
    <w:rsid w:val="00742872"/>
    <w:rsid w:val="00743B0A"/>
    <w:rsid w:val="00743DB0"/>
    <w:rsid w:val="00744479"/>
    <w:rsid w:val="00745622"/>
    <w:rsid w:val="00745851"/>
    <w:rsid w:val="00746A29"/>
    <w:rsid w:val="00750F03"/>
    <w:rsid w:val="007575DA"/>
    <w:rsid w:val="007627FC"/>
    <w:rsid w:val="00762D63"/>
    <w:rsid w:val="00763685"/>
    <w:rsid w:val="00764FA6"/>
    <w:rsid w:val="007657E6"/>
    <w:rsid w:val="00770E6B"/>
    <w:rsid w:val="00771412"/>
    <w:rsid w:val="007714A5"/>
    <w:rsid w:val="007763FA"/>
    <w:rsid w:val="00776AF9"/>
    <w:rsid w:val="00777BFB"/>
    <w:rsid w:val="00777E93"/>
    <w:rsid w:val="007804A8"/>
    <w:rsid w:val="00780BED"/>
    <w:rsid w:val="0078147B"/>
    <w:rsid w:val="007829E5"/>
    <w:rsid w:val="00782EEA"/>
    <w:rsid w:val="00783E6D"/>
    <w:rsid w:val="00785E86"/>
    <w:rsid w:val="00792C52"/>
    <w:rsid w:val="00794646"/>
    <w:rsid w:val="00796AC3"/>
    <w:rsid w:val="007973FC"/>
    <w:rsid w:val="007A169A"/>
    <w:rsid w:val="007A32B9"/>
    <w:rsid w:val="007A7605"/>
    <w:rsid w:val="007B3865"/>
    <w:rsid w:val="007B3DCA"/>
    <w:rsid w:val="007B487E"/>
    <w:rsid w:val="007B493C"/>
    <w:rsid w:val="007C0FA7"/>
    <w:rsid w:val="007C59BB"/>
    <w:rsid w:val="007C5E40"/>
    <w:rsid w:val="007D1244"/>
    <w:rsid w:val="007E0394"/>
    <w:rsid w:val="007E05A7"/>
    <w:rsid w:val="007E0C22"/>
    <w:rsid w:val="007E3FDF"/>
    <w:rsid w:val="007E4698"/>
    <w:rsid w:val="007E71E1"/>
    <w:rsid w:val="007E7D2D"/>
    <w:rsid w:val="007F101F"/>
    <w:rsid w:val="007F31BC"/>
    <w:rsid w:val="007F3478"/>
    <w:rsid w:val="007F46C9"/>
    <w:rsid w:val="007F5152"/>
    <w:rsid w:val="007F5BBD"/>
    <w:rsid w:val="007F7F50"/>
    <w:rsid w:val="008060BE"/>
    <w:rsid w:val="0080715F"/>
    <w:rsid w:val="008074CC"/>
    <w:rsid w:val="00807CDD"/>
    <w:rsid w:val="00810B9D"/>
    <w:rsid w:val="00810DA8"/>
    <w:rsid w:val="00813FF8"/>
    <w:rsid w:val="0081458C"/>
    <w:rsid w:val="00814795"/>
    <w:rsid w:val="008156C5"/>
    <w:rsid w:val="00816F6D"/>
    <w:rsid w:val="00820D62"/>
    <w:rsid w:val="00821426"/>
    <w:rsid w:val="008215A0"/>
    <w:rsid w:val="0082192B"/>
    <w:rsid w:val="00824DC7"/>
    <w:rsid w:val="008259AD"/>
    <w:rsid w:val="00825AB3"/>
    <w:rsid w:val="008265A1"/>
    <w:rsid w:val="0082735D"/>
    <w:rsid w:val="008277FB"/>
    <w:rsid w:val="00830EDA"/>
    <w:rsid w:val="008327BE"/>
    <w:rsid w:val="00834839"/>
    <w:rsid w:val="008351C1"/>
    <w:rsid w:val="0083602E"/>
    <w:rsid w:val="0084028F"/>
    <w:rsid w:val="0084283F"/>
    <w:rsid w:val="00847F4F"/>
    <w:rsid w:val="008510BC"/>
    <w:rsid w:val="008518D1"/>
    <w:rsid w:val="00851B59"/>
    <w:rsid w:val="00851C61"/>
    <w:rsid w:val="008526DF"/>
    <w:rsid w:val="00854D00"/>
    <w:rsid w:val="00856AA4"/>
    <w:rsid w:val="00857145"/>
    <w:rsid w:val="00860ABD"/>
    <w:rsid w:val="008612D9"/>
    <w:rsid w:val="00862D0D"/>
    <w:rsid w:val="0087186E"/>
    <w:rsid w:val="00871D2C"/>
    <w:rsid w:val="0087599A"/>
    <w:rsid w:val="00880CCA"/>
    <w:rsid w:val="00881EEA"/>
    <w:rsid w:val="008835B0"/>
    <w:rsid w:val="00883883"/>
    <w:rsid w:val="00884CCD"/>
    <w:rsid w:val="0088500F"/>
    <w:rsid w:val="008855AE"/>
    <w:rsid w:val="00885EFD"/>
    <w:rsid w:val="0089056E"/>
    <w:rsid w:val="00891634"/>
    <w:rsid w:val="00891C65"/>
    <w:rsid w:val="008929DE"/>
    <w:rsid w:val="00892B94"/>
    <w:rsid w:val="00892D34"/>
    <w:rsid w:val="00894E83"/>
    <w:rsid w:val="00895756"/>
    <w:rsid w:val="00896C84"/>
    <w:rsid w:val="00897F71"/>
    <w:rsid w:val="008A08E7"/>
    <w:rsid w:val="008A2A0A"/>
    <w:rsid w:val="008A50CE"/>
    <w:rsid w:val="008A5B9F"/>
    <w:rsid w:val="008A7001"/>
    <w:rsid w:val="008B010B"/>
    <w:rsid w:val="008B0672"/>
    <w:rsid w:val="008B3A56"/>
    <w:rsid w:val="008C1A38"/>
    <w:rsid w:val="008C7113"/>
    <w:rsid w:val="008D08C9"/>
    <w:rsid w:val="008D3374"/>
    <w:rsid w:val="008D4981"/>
    <w:rsid w:val="008D4F18"/>
    <w:rsid w:val="008D5F9D"/>
    <w:rsid w:val="008D5FC4"/>
    <w:rsid w:val="008E46EB"/>
    <w:rsid w:val="008E5CB7"/>
    <w:rsid w:val="008E65FA"/>
    <w:rsid w:val="008E70BF"/>
    <w:rsid w:val="008E7B8A"/>
    <w:rsid w:val="008F183D"/>
    <w:rsid w:val="008F3D58"/>
    <w:rsid w:val="008F7FAA"/>
    <w:rsid w:val="00901270"/>
    <w:rsid w:val="00905E1B"/>
    <w:rsid w:val="00910C6D"/>
    <w:rsid w:val="009111B9"/>
    <w:rsid w:val="009120A3"/>
    <w:rsid w:val="00912630"/>
    <w:rsid w:val="00914B61"/>
    <w:rsid w:val="00916925"/>
    <w:rsid w:val="00916EAC"/>
    <w:rsid w:val="009239C1"/>
    <w:rsid w:val="0092431C"/>
    <w:rsid w:val="00926C2C"/>
    <w:rsid w:val="00930223"/>
    <w:rsid w:val="00930E64"/>
    <w:rsid w:val="009347FC"/>
    <w:rsid w:val="00934B3F"/>
    <w:rsid w:val="00934E1E"/>
    <w:rsid w:val="0093702D"/>
    <w:rsid w:val="00937044"/>
    <w:rsid w:val="0093726A"/>
    <w:rsid w:val="00943035"/>
    <w:rsid w:val="00944BA9"/>
    <w:rsid w:val="00952D19"/>
    <w:rsid w:val="00953E58"/>
    <w:rsid w:val="00955078"/>
    <w:rsid w:val="0095756B"/>
    <w:rsid w:val="00957F1B"/>
    <w:rsid w:val="009600FE"/>
    <w:rsid w:val="00963797"/>
    <w:rsid w:val="0096522D"/>
    <w:rsid w:val="00965F8E"/>
    <w:rsid w:val="00966493"/>
    <w:rsid w:val="0097373C"/>
    <w:rsid w:val="00975148"/>
    <w:rsid w:val="0097611E"/>
    <w:rsid w:val="009823FE"/>
    <w:rsid w:val="0098397E"/>
    <w:rsid w:val="009842E4"/>
    <w:rsid w:val="009854EF"/>
    <w:rsid w:val="00986005"/>
    <w:rsid w:val="00986838"/>
    <w:rsid w:val="00987A91"/>
    <w:rsid w:val="00992C0C"/>
    <w:rsid w:val="00993056"/>
    <w:rsid w:val="0099434B"/>
    <w:rsid w:val="009944A7"/>
    <w:rsid w:val="00994C05"/>
    <w:rsid w:val="009A02B7"/>
    <w:rsid w:val="009A03A4"/>
    <w:rsid w:val="009A1A45"/>
    <w:rsid w:val="009B06DB"/>
    <w:rsid w:val="009B06F4"/>
    <w:rsid w:val="009B1A83"/>
    <w:rsid w:val="009B217B"/>
    <w:rsid w:val="009B2CFF"/>
    <w:rsid w:val="009B5A8F"/>
    <w:rsid w:val="009B6287"/>
    <w:rsid w:val="009B72C2"/>
    <w:rsid w:val="009C3B42"/>
    <w:rsid w:val="009C519E"/>
    <w:rsid w:val="009D0D88"/>
    <w:rsid w:val="009D2B69"/>
    <w:rsid w:val="009D2EA2"/>
    <w:rsid w:val="009D313D"/>
    <w:rsid w:val="009D37DF"/>
    <w:rsid w:val="009D4F77"/>
    <w:rsid w:val="009D6C0B"/>
    <w:rsid w:val="009E481A"/>
    <w:rsid w:val="009E49BD"/>
    <w:rsid w:val="009E6DCE"/>
    <w:rsid w:val="009F38D3"/>
    <w:rsid w:val="009F6EE4"/>
    <w:rsid w:val="009F6F04"/>
    <w:rsid w:val="00A000CD"/>
    <w:rsid w:val="00A024F2"/>
    <w:rsid w:val="00A041FF"/>
    <w:rsid w:val="00A05F2F"/>
    <w:rsid w:val="00A06EC1"/>
    <w:rsid w:val="00A1137A"/>
    <w:rsid w:val="00A11AEF"/>
    <w:rsid w:val="00A11F9A"/>
    <w:rsid w:val="00A125C1"/>
    <w:rsid w:val="00A14ADD"/>
    <w:rsid w:val="00A152EA"/>
    <w:rsid w:val="00A15D5E"/>
    <w:rsid w:val="00A20B1E"/>
    <w:rsid w:val="00A24206"/>
    <w:rsid w:val="00A25372"/>
    <w:rsid w:val="00A2538A"/>
    <w:rsid w:val="00A25611"/>
    <w:rsid w:val="00A265E5"/>
    <w:rsid w:val="00A27A21"/>
    <w:rsid w:val="00A30739"/>
    <w:rsid w:val="00A30CEA"/>
    <w:rsid w:val="00A31798"/>
    <w:rsid w:val="00A31E90"/>
    <w:rsid w:val="00A32421"/>
    <w:rsid w:val="00A42F54"/>
    <w:rsid w:val="00A430D0"/>
    <w:rsid w:val="00A43257"/>
    <w:rsid w:val="00A44331"/>
    <w:rsid w:val="00A4575C"/>
    <w:rsid w:val="00A45E21"/>
    <w:rsid w:val="00A47D0F"/>
    <w:rsid w:val="00A47DDA"/>
    <w:rsid w:val="00A47E28"/>
    <w:rsid w:val="00A52A08"/>
    <w:rsid w:val="00A53147"/>
    <w:rsid w:val="00A5446B"/>
    <w:rsid w:val="00A62990"/>
    <w:rsid w:val="00A65245"/>
    <w:rsid w:val="00A658F7"/>
    <w:rsid w:val="00A664F0"/>
    <w:rsid w:val="00A66DE4"/>
    <w:rsid w:val="00A6707E"/>
    <w:rsid w:val="00A70BAB"/>
    <w:rsid w:val="00A71242"/>
    <w:rsid w:val="00A72AEA"/>
    <w:rsid w:val="00A73D81"/>
    <w:rsid w:val="00A74659"/>
    <w:rsid w:val="00A74754"/>
    <w:rsid w:val="00A74E23"/>
    <w:rsid w:val="00A8222E"/>
    <w:rsid w:val="00A82C96"/>
    <w:rsid w:val="00A82D38"/>
    <w:rsid w:val="00A84B91"/>
    <w:rsid w:val="00A909BA"/>
    <w:rsid w:val="00A9179E"/>
    <w:rsid w:val="00A937C5"/>
    <w:rsid w:val="00A93C1F"/>
    <w:rsid w:val="00A95AA2"/>
    <w:rsid w:val="00A96B9D"/>
    <w:rsid w:val="00A96D9E"/>
    <w:rsid w:val="00A97106"/>
    <w:rsid w:val="00AA0064"/>
    <w:rsid w:val="00AA0B0E"/>
    <w:rsid w:val="00AA1A7C"/>
    <w:rsid w:val="00AA2916"/>
    <w:rsid w:val="00AA5FC4"/>
    <w:rsid w:val="00AA6AD9"/>
    <w:rsid w:val="00AB0A3C"/>
    <w:rsid w:val="00AB154D"/>
    <w:rsid w:val="00AB1C84"/>
    <w:rsid w:val="00AB2DF2"/>
    <w:rsid w:val="00AB625E"/>
    <w:rsid w:val="00AB7ECE"/>
    <w:rsid w:val="00AC15C1"/>
    <w:rsid w:val="00AC3837"/>
    <w:rsid w:val="00AC51B8"/>
    <w:rsid w:val="00AC54B4"/>
    <w:rsid w:val="00AC5654"/>
    <w:rsid w:val="00AC6B09"/>
    <w:rsid w:val="00AC6FF7"/>
    <w:rsid w:val="00AD04A0"/>
    <w:rsid w:val="00AD0F2B"/>
    <w:rsid w:val="00AD0F65"/>
    <w:rsid w:val="00AD338D"/>
    <w:rsid w:val="00AD6ED5"/>
    <w:rsid w:val="00AE050C"/>
    <w:rsid w:val="00AE362C"/>
    <w:rsid w:val="00AE3EEE"/>
    <w:rsid w:val="00AE44D3"/>
    <w:rsid w:val="00AE6137"/>
    <w:rsid w:val="00AE7B99"/>
    <w:rsid w:val="00AF16C7"/>
    <w:rsid w:val="00AF25D9"/>
    <w:rsid w:val="00AF36D1"/>
    <w:rsid w:val="00AF3DEA"/>
    <w:rsid w:val="00AF487D"/>
    <w:rsid w:val="00AF48D4"/>
    <w:rsid w:val="00AF4AEA"/>
    <w:rsid w:val="00AF66C1"/>
    <w:rsid w:val="00AF7A09"/>
    <w:rsid w:val="00AF7D0B"/>
    <w:rsid w:val="00AF7F17"/>
    <w:rsid w:val="00B02336"/>
    <w:rsid w:val="00B07078"/>
    <w:rsid w:val="00B13C4E"/>
    <w:rsid w:val="00B166BB"/>
    <w:rsid w:val="00B16DEE"/>
    <w:rsid w:val="00B203B3"/>
    <w:rsid w:val="00B21962"/>
    <w:rsid w:val="00B2396B"/>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161"/>
    <w:rsid w:val="00B43664"/>
    <w:rsid w:val="00B44149"/>
    <w:rsid w:val="00B4632A"/>
    <w:rsid w:val="00B46805"/>
    <w:rsid w:val="00B4699F"/>
    <w:rsid w:val="00B47E4D"/>
    <w:rsid w:val="00B47F45"/>
    <w:rsid w:val="00B5121D"/>
    <w:rsid w:val="00B52EFF"/>
    <w:rsid w:val="00B54486"/>
    <w:rsid w:val="00B54E2C"/>
    <w:rsid w:val="00B55889"/>
    <w:rsid w:val="00B57214"/>
    <w:rsid w:val="00B6525F"/>
    <w:rsid w:val="00B65A9D"/>
    <w:rsid w:val="00B71A01"/>
    <w:rsid w:val="00B743A2"/>
    <w:rsid w:val="00B74586"/>
    <w:rsid w:val="00B757B1"/>
    <w:rsid w:val="00B764F8"/>
    <w:rsid w:val="00B7726A"/>
    <w:rsid w:val="00B83119"/>
    <w:rsid w:val="00B84139"/>
    <w:rsid w:val="00B91C06"/>
    <w:rsid w:val="00B923BC"/>
    <w:rsid w:val="00B96097"/>
    <w:rsid w:val="00B97105"/>
    <w:rsid w:val="00BA191C"/>
    <w:rsid w:val="00BA1F12"/>
    <w:rsid w:val="00BA3B7A"/>
    <w:rsid w:val="00BA5686"/>
    <w:rsid w:val="00BB30D3"/>
    <w:rsid w:val="00BB61FF"/>
    <w:rsid w:val="00BB74CA"/>
    <w:rsid w:val="00BC1993"/>
    <w:rsid w:val="00BC2269"/>
    <w:rsid w:val="00BC2E7D"/>
    <w:rsid w:val="00BC34F8"/>
    <w:rsid w:val="00BC3671"/>
    <w:rsid w:val="00BD09E5"/>
    <w:rsid w:val="00BD17F0"/>
    <w:rsid w:val="00BD2041"/>
    <w:rsid w:val="00BD6D33"/>
    <w:rsid w:val="00BE36D6"/>
    <w:rsid w:val="00BE3EF2"/>
    <w:rsid w:val="00BE58C3"/>
    <w:rsid w:val="00BE7765"/>
    <w:rsid w:val="00BF0E1D"/>
    <w:rsid w:val="00BF2F0A"/>
    <w:rsid w:val="00BF323C"/>
    <w:rsid w:val="00BF5C84"/>
    <w:rsid w:val="00BF7497"/>
    <w:rsid w:val="00C0041D"/>
    <w:rsid w:val="00C04425"/>
    <w:rsid w:val="00C04F5C"/>
    <w:rsid w:val="00C07968"/>
    <w:rsid w:val="00C1023B"/>
    <w:rsid w:val="00C10953"/>
    <w:rsid w:val="00C10A7E"/>
    <w:rsid w:val="00C10D2B"/>
    <w:rsid w:val="00C11106"/>
    <w:rsid w:val="00C13A80"/>
    <w:rsid w:val="00C157ED"/>
    <w:rsid w:val="00C15DA0"/>
    <w:rsid w:val="00C20259"/>
    <w:rsid w:val="00C2646C"/>
    <w:rsid w:val="00C275FC"/>
    <w:rsid w:val="00C30172"/>
    <w:rsid w:val="00C35616"/>
    <w:rsid w:val="00C41DCF"/>
    <w:rsid w:val="00C42940"/>
    <w:rsid w:val="00C4427E"/>
    <w:rsid w:val="00C45BD3"/>
    <w:rsid w:val="00C469AE"/>
    <w:rsid w:val="00C522D8"/>
    <w:rsid w:val="00C52B54"/>
    <w:rsid w:val="00C53A66"/>
    <w:rsid w:val="00C53D89"/>
    <w:rsid w:val="00C56920"/>
    <w:rsid w:val="00C61987"/>
    <w:rsid w:val="00C651CF"/>
    <w:rsid w:val="00C6543B"/>
    <w:rsid w:val="00C65C28"/>
    <w:rsid w:val="00C6605B"/>
    <w:rsid w:val="00C67852"/>
    <w:rsid w:val="00C67A6E"/>
    <w:rsid w:val="00C707BC"/>
    <w:rsid w:val="00C71275"/>
    <w:rsid w:val="00C718DE"/>
    <w:rsid w:val="00C73497"/>
    <w:rsid w:val="00C735E7"/>
    <w:rsid w:val="00C75D48"/>
    <w:rsid w:val="00C770FE"/>
    <w:rsid w:val="00C811F6"/>
    <w:rsid w:val="00C846DF"/>
    <w:rsid w:val="00C8482A"/>
    <w:rsid w:val="00C859AE"/>
    <w:rsid w:val="00C90345"/>
    <w:rsid w:val="00C908ED"/>
    <w:rsid w:val="00C9342D"/>
    <w:rsid w:val="00C95050"/>
    <w:rsid w:val="00C95DD4"/>
    <w:rsid w:val="00C97831"/>
    <w:rsid w:val="00CA0596"/>
    <w:rsid w:val="00CA1058"/>
    <w:rsid w:val="00CA2541"/>
    <w:rsid w:val="00CB1925"/>
    <w:rsid w:val="00CB201F"/>
    <w:rsid w:val="00CB2F19"/>
    <w:rsid w:val="00CB4E2A"/>
    <w:rsid w:val="00CC0223"/>
    <w:rsid w:val="00CC0661"/>
    <w:rsid w:val="00CC0C93"/>
    <w:rsid w:val="00CC1BAF"/>
    <w:rsid w:val="00CC22E5"/>
    <w:rsid w:val="00CC364B"/>
    <w:rsid w:val="00CC3D88"/>
    <w:rsid w:val="00CC5D8A"/>
    <w:rsid w:val="00CC6FEE"/>
    <w:rsid w:val="00CC7174"/>
    <w:rsid w:val="00CD0141"/>
    <w:rsid w:val="00CD08E9"/>
    <w:rsid w:val="00CD1EBC"/>
    <w:rsid w:val="00CD3BB8"/>
    <w:rsid w:val="00CD6EED"/>
    <w:rsid w:val="00CE664C"/>
    <w:rsid w:val="00CE7FE2"/>
    <w:rsid w:val="00CF164D"/>
    <w:rsid w:val="00CF2E74"/>
    <w:rsid w:val="00CF5D51"/>
    <w:rsid w:val="00D0044F"/>
    <w:rsid w:val="00D02370"/>
    <w:rsid w:val="00D0358D"/>
    <w:rsid w:val="00D03E80"/>
    <w:rsid w:val="00D0731E"/>
    <w:rsid w:val="00D134CF"/>
    <w:rsid w:val="00D1435D"/>
    <w:rsid w:val="00D147F4"/>
    <w:rsid w:val="00D172B6"/>
    <w:rsid w:val="00D212AE"/>
    <w:rsid w:val="00D21945"/>
    <w:rsid w:val="00D23946"/>
    <w:rsid w:val="00D25076"/>
    <w:rsid w:val="00D30098"/>
    <w:rsid w:val="00D306C8"/>
    <w:rsid w:val="00D309EB"/>
    <w:rsid w:val="00D30DDC"/>
    <w:rsid w:val="00D31071"/>
    <w:rsid w:val="00D31ACA"/>
    <w:rsid w:val="00D31FF7"/>
    <w:rsid w:val="00D34E36"/>
    <w:rsid w:val="00D35A57"/>
    <w:rsid w:val="00D36641"/>
    <w:rsid w:val="00D36E68"/>
    <w:rsid w:val="00D42AD7"/>
    <w:rsid w:val="00D44E54"/>
    <w:rsid w:val="00D51EBE"/>
    <w:rsid w:val="00D52298"/>
    <w:rsid w:val="00D526EF"/>
    <w:rsid w:val="00D569AD"/>
    <w:rsid w:val="00D5766D"/>
    <w:rsid w:val="00D609A5"/>
    <w:rsid w:val="00D60B85"/>
    <w:rsid w:val="00D62DB0"/>
    <w:rsid w:val="00D62E75"/>
    <w:rsid w:val="00D63648"/>
    <w:rsid w:val="00D67B91"/>
    <w:rsid w:val="00D67F74"/>
    <w:rsid w:val="00D778B5"/>
    <w:rsid w:val="00D77D00"/>
    <w:rsid w:val="00D8197B"/>
    <w:rsid w:val="00D82763"/>
    <w:rsid w:val="00D82BC2"/>
    <w:rsid w:val="00D84737"/>
    <w:rsid w:val="00D84DF3"/>
    <w:rsid w:val="00D85A0E"/>
    <w:rsid w:val="00D86557"/>
    <w:rsid w:val="00D87883"/>
    <w:rsid w:val="00D927FC"/>
    <w:rsid w:val="00D931ED"/>
    <w:rsid w:val="00D9323E"/>
    <w:rsid w:val="00D937B3"/>
    <w:rsid w:val="00D961CA"/>
    <w:rsid w:val="00DA403B"/>
    <w:rsid w:val="00DA4FB3"/>
    <w:rsid w:val="00DB1078"/>
    <w:rsid w:val="00DB109E"/>
    <w:rsid w:val="00DB120D"/>
    <w:rsid w:val="00DB1EAF"/>
    <w:rsid w:val="00DB444B"/>
    <w:rsid w:val="00DB5F83"/>
    <w:rsid w:val="00DB677C"/>
    <w:rsid w:val="00DC3B91"/>
    <w:rsid w:val="00DC435F"/>
    <w:rsid w:val="00DC5B96"/>
    <w:rsid w:val="00DC7363"/>
    <w:rsid w:val="00DC7967"/>
    <w:rsid w:val="00DC7EEC"/>
    <w:rsid w:val="00DD075B"/>
    <w:rsid w:val="00DD5197"/>
    <w:rsid w:val="00DD7200"/>
    <w:rsid w:val="00DD73CD"/>
    <w:rsid w:val="00DE4954"/>
    <w:rsid w:val="00DE5A72"/>
    <w:rsid w:val="00DF0A28"/>
    <w:rsid w:val="00DF2C27"/>
    <w:rsid w:val="00DF5663"/>
    <w:rsid w:val="00DF7742"/>
    <w:rsid w:val="00E02A2C"/>
    <w:rsid w:val="00E039A7"/>
    <w:rsid w:val="00E05B86"/>
    <w:rsid w:val="00E05C1F"/>
    <w:rsid w:val="00E1489A"/>
    <w:rsid w:val="00E16489"/>
    <w:rsid w:val="00E209C2"/>
    <w:rsid w:val="00E20DE3"/>
    <w:rsid w:val="00E212F0"/>
    <w:rsid w:val="00E2199A"/>
    <w:rsid w:val="00E2202D"/>
    <w:rsid w:val="00E22206"/>
    <w:rsid w:val="00E22AF5"/>
    <w:rsid w:val="00E2403B"/>
    <w:rsid w:val="00E24392"/>
    <w:rsid w:val="00E264D0"/>
    <w:rsid w:val="00E26885"/>
    <w:rsid w:val="00E272D4"/>
    <w:rsid w:val="00E307DE"/>
    <w:rsid w:val="00E31B56"/>
    <w:rsid w:val="00E32021"/>
    <w:rsid w:val="00E32321"/>
    <w:rsid w:val="00E34196"/>
    <w:rsid w:val="00E34A41"/>
    <w:rsid w:val="00E35A3A"/>
    <w:rsid w:val="00E403E5"/>
    <w:rsid w:val="00E41F36"/>
    <w:rsid w:val="00E448AB"/>
    <w:rsid w:val="00E44A37"/>
    <w:rsid w:val="00E47D59"/>
    <w:rsid w:val="00E50D1B"/>
    <w:rsid w:val="00E5123C"/>
    <w:rsid w:val="00E51827"/>
    <w:rsid w:val="00E51AC9"/>
    <w:rsid w:val="00E55871"/>
    <w:rsid w:val="00E55D94"/>
    <w:rsid w:val="00E5607F"/>
    <w:rsid w:val="00E6162C"/>
    <w:rsid w:val="00E65EDF"/>
    <w:rsid w:val="00E66846"/>
    <w:rsid w:val="00E7008C"/>
    <w:rsid w:val="00E70CE4"/>
    <w:rsid w:val="00E72146"/>
    <w:rsid w:val="00E75A40"/>
    <w:rsid w:val="00E75F6A"/>
    <w:rsid w:val="00E76F4C"/>
    <w:rsid w:val="00E77E45"/>
    <w:rsid w:val="00E85B2B"/>
    <w:rsid w:val="00E85B7A"/>
    <w:rsid w:val="00E877EB"/>
    <w:rsid w:val="00E87F99"/>
    <w:rsid w:val="00E90851"/>
    <w:rsid w:val="00E90931"/>
    <w:rsid w:val="00E91FE0"/>
    <w:rsid w:val="00E930F4"/>
    <w:rsid w:val="00E94D2C"/>
    <w:rsid w:val="00E95255"/>
    <w:rsid w:val="00EA22D8"/>
    <w:rsid w:val="00EA3253"/>
    <w:rsid w:val="00EA3366"/>
    <w:rsid w:val="00EA3F09"/>
    <w:rsid w:val="00EA5880"/>
    <w:rsid w:val="00EA6047"/>
    <w:rsid w:val="00EA69E8"/>
    <w:rsid w:val="00EB04CD"/>
    <w:rsid w:val="00EB0815"/>
    <w:rsid w:val="00EB3EE9"/>
    <w:rsid w:val="00EB6E57"/>
    <w:rsid w:val="00EB75FC"/>
    <w:rsid w:val="00EC219B"/>
    <w:rsid w:val="00EC430C"/>
    <w:rsid w:val="00EC4D25"/>
    <w:rsid w:val="00EC7868"/>
    <w:rsid w:val="00ED0763"/>
    <w:rsid w:val="00ED156A"/>
    <w:rsid w:val="00ED3F1B"/>
    <w:rsid w:val="00ED5A72"/>
    <w:rsid w:val="00ED7BC0"/>
    <w:rsid w:val="00EE0706"/>
    <w:rsid w:val="00EE4C25"/>
    <w:rsid w:val="00EE6BD7"/>
    <w:rsid w:val="00EE7C91"/>
    <w:rsid w:val="00EF0897"/>
    <w:rsid w:val="00EF500C"/>
    <w:rsid w:val="00EF5049"/>
    <w:rsid w:val="00EF59D6"/>
    <w:rsid w:val="00F00B2C"/>
    <w:rsid w:val="00F00BB6"/>
    <w:rsid w:val="00F02E65"/>
    <w:rsid w:val="00F04CD6"/>
    <w:rsid w:val="00F06723"/>
    <w:rsid w:val="00F12692"/>
    <w:rsid w:val="00F1775C"/>
    <w:rsid w:val="00F208F1"/>
    <w:rsid w:val="00F239D4"/>
    <w:rsid w:val="00F23CDB"/>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47D5"/>
    <w:rsid w:val="00F56138"/>
    <w:rsid w:val="00F64059"/>
    <w:rsid w:val="00F65DF7"/>
    <w:rsid w:val="00F711B8"/>
    <w:rsid w:val="00F714D7"/>
    <w:rsid w:val="00F720B4"/>
    <w:rsid w:val="00F74CB9"/>
    <w:rsid w:val="00F77216"/>
    <w:rsid w:val="00F77AA8"/>
    <w:rsid w:val="00F80A9E"/>
    <w:rsid w:val="00F845E5"/>
    <w:rsid w:val="00F97776"/>
    <w:rsid w:val="00FA3F8D"/>
    <w:rsid w:val="00FA6206"/>
    <w:rsid w:val="00FB1B3E"/>
    <w:rsid w:val="00FB2D23"/>
    <w:rsid w:val="00FB4B31"/>
    <w:rsid w:val="00FB522F"/>
    <w:rsid w:val="00FC0010"/>
    <w:rsid w:val="00FC11EB"/>
    <w:rsid w:val="00FC14D6"/>
    <w:rsid w:val="00FC242C"/>
    <w:rsid w:val="00FC3425"/>
    <w:rsid w:val="00FC4BFD"/>
    <w:rsid w:val="00FC51E0"/>
    <w:rsid w:val="00FC546C"/>
    <w:rsid w:val="00FC5E88"/>
    <w:rsid w:val="00FC73DD"/>
    <w:rsid w:val="00FD12AE"/>
    <w:rsid w:val="00FD3377"/>
    <w:rsid w:val="00FD44D0"/>
    <w:rsid w:val="00FD5CCC"/>
    <w:rsid w:val="00FD6470"/>
    <w:rsid w:val="00FD655A"/>
    <w:rsid w:val="00FD71BC"/>
    <w:rsid w:val="00FD7418"/>
    <w:rsid w:val="00FE1634"/>
    <w:rsid w:val="00FE47E6"/>
    <w:rsid w:val="00FE66E5"/>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5"/>
    <w:uiPriority w:val="34"/>
    <w:qFormat/>
    <w:rsid w:val="00DC3B91"/>
    <w:pPr>
      <w:ind w:left="720"/>
      <w:contextualSpacing/>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7003B8"/>
    <w:pPr>
      <w:tabs>
        <w:tab w:val="center" w:pos="4320"/>
        <w:tab w:val="right" w:pos="864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qFormat/>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1"/>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 w:type="character" w:customStyle="1" w:styleId="ListParagraphChar">
    <w:name w:val="List Paragraph Char"/>
    <w:aliases w:val="列出段落 Char,목록 단락 Char,- Bullets Char,リスト段落 Char,?? ?? Char,????? Char,???? Char,Lista1 Char,列出段落1 Char,中等深浅网格 1 - 着色 21 Char,列表段落 Char,¥¡¡¡¡ì¬º¥¹¥È¶ÎÂä Char,ÁÐ³ö¶ÎÂä Char,列表段落1 Char,—ño’i—Ž Char,¥ê¥¹¥È¶ÎÂä Char,Paragrafo elenco Char"/>
    <w:basedOn w:val="a0"/>
    <w:uiPriority w:val="34"/>
    <w:locked/>
    <w:rsid w:val="0025296E"/>
    <w:rPr>
      <w:rFonts w:ascii="SimSun" w:eastAsia="SimSun" w:hAnsi="SimSun"/>
    </w:rPr>
  </w:style>
  <w:style w:type="paragraph" w:customStyle="1" w:styleId="TAH">
    <w:name w:val="TAH"/>
    <w:basedOn w:val="TAC"/>
    <w:link w:val="TAHCar"/>
    <w:qFormat/>
    <w:rsid w:val="00432B19"/>
    <w:rPr>
      <w:rFonts w:eastAsia="SimSun"/>
      <w:b/>
    </w:rPr>
  </w:style>
  <w:style w:type="character" w:customStyle="1" w:styleId="TAHCar">
    <w:name w:val="TAH Car"/>
    <w:link w:val="TAH"/>
    <w:qFormat/>
    <w:rsid w:val="00432B19"/>
    <w:rPr>
      <w:rFonts w:ascii="Arial" w:eastAsia="SimSun" w:hAnsi="Arial" w:cs="Times New Roman"/>
      <w:b/>
      <w:sz w:val="18"/>
      <w:szCs w:val="20"/>
      <w:lang w:val="en-GB" w:eastAsia="en-US"/>
    </w:rPr>
  </w:style>
  <w:style w:type="character" w:customStyle="1" w:styleId="TALCar">
    <w:name w:val="TAL Car"/>
    <w:qFormat/>
    <w:rsid w:val="00432B19"/>
    <w:rPr>
      <w:rFonts w:ascii="Arial" w:eastAsia="Malgun Gothic"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45139567">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534392545">
      <w:bodyDiv w:val="1"/>
      <w:marLeft w:val="0"/>
      <w:marRight w:val="0"/>
      <w:marTop w:val="0"/>
      <w:marBottom w:val="0"/>
      <w:divBdr>
        <w:top w:val="none" w:sz="0" w:space="0" w:color="auto"/>
        <w:left w:val="none" w:sz="0" w:space="0" w:color="auto"/>
        <w:bottom w:val="none" w:sz="0" w:space="0" w:color="auto"/>
        <w:right w:val="none" w:sz="0" w:space="0" w:color="auto"/>
      </w:divBdr>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44353586">
      <w:bodyDiv w:val="1"/>
      <w:marLeft w:val="0"/>
      <w:marRight w:val="0"/>
      <w:marTop w:val="0"/>
      <w:marBottom w:val="0"/>
      <w:divBdr>
        <w:top w:val="none" w:sz="0" w:space="0" w:color="auto"/>
        <w:left w:val="none" w:sz="0" w:space="0" w:color="auto"/>
        <w:bottom w:val="none" w:sz="0" w:space="0" w:color="auto"/>
        <w:right w:val="none" w:sz="0" w:space="0" w:color="auto"/>
      </w:divBdr>
      <w:divsChild>
        <w:div w:id="501899906">
          <w:marLeft w:val="360"/>
          <w:marRight w:val="0"/>
          <w:marTop w:val="200"/>
          <w:marBottom w:val="0"/>
          <w:divBdr>
            <w:top w:val="none" w:sz="0" w:space="0" w:color="auto"/>
            <w:left w:val="none" w:sz="0" w:space="0" w:color="auto"/>
            <w:bottom w:val="none" w:sz="0" w:space="0" w:color="auto"/>
            <w:right w:val="none" w:sz="0" w:space="0" w:color="auto"/>
          </w:divBdr>
        </w:div>
        <w:div w:id="1399397530">
          <w:marLeft w:val="1080"/>
          <w:marRight w:val="0"/>
          <w:marTop w:val="100"/>
          <w:marBottom w:val="0"/>
          <w:divBdr>
            <w:top w:val="none" w:sz="0" w:space="0" w:color="auto"/>
            <w:left w:val="none" w:sz="0" w:space="0" w:color="auto"/>
            <w:bottom w:val="none" w:sz="0" w:space="0" w:color="auto"/>
            <w:right w:val="none" w:sz="0" w:space="0" w:color="auto"/>
          </w:divBdr>
        </w:div>
        <w:div w:id="1773431372">
          <w:marLeft w:val="1800"/>
          <w:marRight w:val="0"/>
          <w:marTop w:val="100"/>
          <w:marBottom w:val="0"/>
          <w:divBdr>
            <w:top w:val="none" w:sz="0" w:space="0" w:color="auto"/>
            <w:left w:val="none" w:sz="0" w:space="0" w:color="auto"/>
            <w:bottom w:val="none" w:sz="0" w:space="0" w:color="auto"/>
            <w:right w:val="none" w:sz="0" w:space="0" w:color="auto"/>
          </w:divBdr>
        </w:div>
        <w:div w:id="1375159750">
          <w:marLeft w:val="1800"/>
          <w:marRight w:val="0"/>
          <w:marTop w:val="100"/>
          <w:marBottom w:val="0"/>
          <w:divBdr>
            <w:top w:val="none" w:sz="0" w:space="0" w:color="auto"/>
            <w:left w:val="none" w:sz="0" w:space="0" w:color="auto"/>
            <w:bottom w:val="none" w:sz="0" w:space="0" w:color="auto"/>
            <w:right w:val="none" w:sz="0" w:space="0" w:color="auto"/>
          </w:divBdr>
        </w:div>
        <w:div w:id="245922931">
          <w:marLeft w:val="2520"/>
          <w:marRight w:val="0"/>
          <w:marTop w:val="100"/>
          <w:marBottom w:val="0"/>
          <w:divBdr>
            <w:top w:val="none" w:sz="0" w:space="0" w:color="auto"/>
            <w:left w:val="none" w:sz="0" w:space="0" w:color="auto"/>
            <w:bottom w:val="none" w:sz="0" w:space="0" w:color="auto"/>
            <w:right w:val="none" w:sz="0" w:space="0" w:color="auto"/>
          </w:divBdr>
        </w:div>
        <w:div w:id="1945112376">
          <w:marLeft w:val="2520"/>
          <w:marRight w:val="0"/>
          <w:marTop w:val="100"/>
          <w:marBottom w:val="0"/>
          <w:divBdr>
            <w:top w:val="none" w:sz="0" w:space="0" w:color="auto"/>
            <w:left w:val="none" w:sz="0" w:space="0" w:color="auto"/>
            <w:bottom w:val="none" w:sz="0" w:space="0" w:color="auto"/>
            <w:right w:val="none" w:sz="0" w:space="0" w:color="auto"/>
          </w:divBdr>
        </w:div>
      </w:divsChild>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3605479">
      <w:bodyDiv w:val="1"/>
      <w:marLeft w:val="0"/>
      <w:marRight w:val="0"/>
      <w:marTop w:val="0"/>
      <w:marBottom w:val="0"/>
      <w:divBdr>
        <w:top w:val="none" w:sz="0" w:space="0" w:color="auto"/>
        <w:left w:val="none" w:sz="0" w:space="0" w:color="auto"/>
        <w:bottom w:val="none" w:sz="0" w:space="0" w:color="auto"/>
        <w:right w:val="none" w:sz="0" w:space="0" w:color="auto"/>
      </w:divBdr>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3712559">
      <w:bodyDiv w:val="1"/>
      <w:marLeft w:val="0"/>
      <w:marRight w:val="0"/>
      <w:marTop w:val="0"/>
      <w:marBottom w:val="0"/>
      <w:divBdr>
        <w:top w:val="none" w:sz="0" w:space="0" w:color="auto"/>
        <w:left w:val="none" w:sz="0" w:space="0" w:color="auto"/>
        <w:bottom w:val="none" w:sz="0" w:space="0" w:color="auto"/>
        <w:right w:val="none" w:sz="0" w:space="0" w:color="auto"/>
      </w:divBdr>
      <w:divsChild>
        <w:div w:id="2070684175">
          <w:marLeft w:val="432"/>
          <w:marRight w:val="0"/>
          <w:marTop w:val="24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44924061">
      <w:bodyDiv w:val="1"/>
      <w:marLeft w:val="0"/>
      <w:marRight w:val="0"/>
      <w:marTop w:val="0"/>
      <w:marBottom w:val="0"/>
      <w:divBdr>
        <w:top w:val="none" w:sz="0" w:space="0" w:color="auto"/>
        <w:left w:val="none" w:sz="0" w:space="0" w:color="auto"/>
        <w:bottom w:val="none" w:sz="0" w:space="0" w:color="auto"/>
        <w:right w:val="none" w:sz="0" w:space="0" w:color="auto"/>
      </w:divBdr>
      <w:divsChild>
        <w:div w:id="787044391">
          <w:marLeft w:val="360"/>
          <w:marRight w:val="0"/>
          <w:marTop w:val="200"/>
          <w:marBottom w:val="0"/>
          <w:divBdr>
            <w:top w:val="none" w:sz="0" w:space="0" w:color="auto"/>
            <w:left w:val="none" w:sz="0" w:space="0" w:color="auto"/>
            <w:bottom w:val="none" w:sz="0" w:space="0" w:color="auto"/>
            <w:right w:val="none" w:sz="0" w:space="0" w:color="auto"/>
          </w:divBdr>
        </w:div>
        <w:div w:id="560946783">
          <w:marLeft w:val="1080"/>
          <w:marRight w:val="0"/>
          <w:marTop w:val="100"/>
          <w:marBottom w:val="0"/>
          <w:divBdr>
            <w:top w:val="none" w:sz="0" w:space="0" w:color="auto"/>
            <w:left w:val="none" w:sz="0" w:space="0" w:color="auto"/>
            <w:bottom w:val="none" w:sz="0" w:space="0" w:color="auto"/>
            <w:right w:val="none" w:sz="0" w:space="0" w:color="auto"/>
          </w:divBdr>
        </w:div>
        <w:div w:id="761879675">
          <w:marLeft w:val="1800"/>
          <w:marRight w:val="0"/>
          <w:marTop w:val="100"/>
          <w:marBottom w:val="0"/>
          <w:divBdr>
            <w:top w:val="none" w:sz="0" w:space="0" w:color="auto"/>
            <w:left w:val="none" w:sz="0" w:space="0" w:color="auto"/>
            <w:bottom w:val="none" w:sz="0" w:space="0" w:color="auto"/>
            <w:right w:val="none" w:sz="0" w:space="0" w:color="auto"/>
          </w:divBdr>
        </w:div>
        <w:div w:id="1838880599">
          <w:marLeft w:val="1800"/>
          <w:marRight w:val="0"/>
          <w:marTop w:val="100"/>
          <w:marBottom w:val="0"/>
          <w:divBdr>
            <w:top w:val="none" w:sz="0" w:space="0" w:color="auto"/>
            <w:left w:val="none" w:sz="0" w:space="0" w:color="auto"/>
            <w:bottom w:val="none" w:sz="0" w:space="0" w:color="auto"/>
            <w:right w:val="none" w:sz="0" w:space="0" w:color="auto"/>
          </w:divBdr>
        </w:div>
        <w:div w:id="1668442067">
          <w:marLeft w:val="2520"/>
          <w:marRight w:val="0"/>
          <w:marTop w:val="100"/>
          <w:marBottom w:val="0"/>
          <w:divBdr>
            <w:top w:val="none" w:sz="0" w:space="0" w:color="auto"/>
            <w:left w:val="none" w:sz="0" w:space="0" w:color="auto"/>
            <w:bottom w:val="none" w:sz="0" w:space="0" w:color="auto"/>
            <w:right w:val="none" w:sz="0" w:space="0" w:color="auto"/>
          </w:divBdr>
        </w:div>
        <w:div w:id="412775835">
          <w:marLeft w:val="2520"/>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411736160">
      <w:bodyDiv w:val="1"/>
      <w:marLeft w:val="0"/>
      <w:marRight w:val="0"/>
      <w:marTop w:val="0"/>
      <w:marBottom w:val="0"/>
      <w:divBdr>
        <w:top w:val="none" w:sz="0" w:space="0" w:color="auto"/>
        <w:left w:val="none" w:sz="0" w:space="0" w:color="auto"/>
        <w:bottom w:val="none" w:sz="0" w:space="0" w:color="auto"/>
        <w:right w:val="none" w:sz="0" w:space="0" w:color="auto"/>
      </w:divBdr>
      <w:divsChild>
        <w:div w:id="773211148">
          <w:marLeft w:val="432"/>
          <w:marRight w:val="0"/>
          <w:marTop w:val="240"/>
          <w:marBottom w:val="0"/>
          <w:divBdr>
            <w:top w:val="none" w:sz="0" w:space="0" w:color="auto"/>
            <w:left w:val="none" w:sz="0" w:space="0" w:color="auto"/>
            <w:bottom w:val="none" w:sz="0" w:space="0" w:color="auto"/>
            <w:right w:val="none" w:sz="0" w:space="0" w:color="auto"/>
          </w:divBdr>
        </w:div>
        <w:div w:id="2093500102">
          <w:marLeft w:val="1267"/>
          <w:marRight w:val="0"/>
          <w:marTop w:val="180"/>
          <w:marBottom w:val="0"/>
          <w:divBdr>
            <w:top w:val="none" w:sz="0" w:space="0" w:color="auto"/>
            <w:left w:val="none" w:sz="0" w:space="0" w:color="auto"/>
            <w:bottom w:val="none" w:sz="0" w:space="0" w:color="auto"/>
            <w:right w:val="none" w:sz="0" w:space="0" w:color="auto"/>
          </w:divBdr>
        </w:div>
        <w:div w:id="1527210590">
          <w:marLeft w:val="1267"/>
          <w:marRight w:val="0"/>
          <w:marTop w:val="180"/>
          <w:marBottom w:val="0"/>
          <w:divBdr>
            <w:top w:val="none" w:sz="0" w:space="0" w:color="auto"/>
            <w:left w:val="none" w:sz="0" w:space="0" w:color="auto"/>
            <w:bottom w:val="none" w:sz="0" w:space="0" w:color="auto"/>
            <w:right w:val="none" w:sz="0" w:space="0" w:color="auto"/>
          </w:divBdr>
        </w:div>
      </w:divsChild>
    </w:div>
    <w:div w:id="1535997477">
      <w:bodyDiv w:val="1"/>
      <w:marLeft w:val="0"/>
      <w:marRight w:val="0"/>
      <w:marTop w:val="0"/>
      <w:marBottom w:val="0"/>
      <w:divBdr>
        <w:top w:val="none" w:sz="0" w:space="0" w:color="auto"/>
        <w:left w:val="none" w:sz="0" w:space="0" w:color="auto"/>
        <w:bottom w:val="none" w:sz="0" w:space="0" w:color="auto"/>
        <w:right w:val="none" w:sz="0" w:space="0" w:color="auto"/>
      </w:divBdr>
    </w:div>
    <w:div w:id="1694964115">
      <w:bodyDiv w:val="1"/>
      <w:marLeft w:val="0"/>
      <w:marRight w:val="0"/>
      <w:marTop w:val="0"/>
      <w:marBottom w:val="0"/>
      <w:divBdr>
        <w:top w:val="none" w:sz="0" w:space="0" w:color="auto"/>
        <w:left w:val="none" w:sz="0" w:space="0" w:color="auto"/>
        <w:bottom w:val="none" w:sz="0" w:space="0" w:color="auto"/>
        <w:right w:val="none" w:sz="0" w:space="0" w:color="auto"/>
      </w:divBdr>
    </w:div>
    <w:div w:id="1703163181">
      <w:bodyDiv w:val="1"/>
      <w:marLeft w:val="0"/>
      <w:marRight w:val="0"/>
      <w:marTop w:val="0"/>
      <w:marBottom w:val="0"/>
      <w:divBdr>
        <w:top w:val="none" w:sz="0" w:space="0" w:color="auto"/>
        <w:left w:val="none" w:sz="0" w:space="0" w:color="auto"/>
        <w:bottom w:val="none" w:sz="0" w:space="0" w:color="auto"/>
        <w:right w:val="none" w:sz="0" w:space="0" w:color="auto"/>
      </w:divBdr>
      <w:divsChild>
        <w:div w:id="1119299456">
          <w:marLeft w:val="547"/>
          <w:marRight w:val="0"/>
          <w:marTop w:val="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733112877">
      <w:bodyDiv w:val="1"/>
      <w:marLeft w:val="0"/>
      <w:marRight w:val="0"/>
      <w:marTop w:val="0"/>
      <w:marBottom w:val="0"/>
      <w:divBdr>
        <w:top w:val="none" w:sz="0" w:space="0" w:color="auto"/>
        <w:left w:val="none" w:sz="0" w:space="0" w:color="auto"/>
        <w:bottom w:val="none" w:sz="0" w:space="0" w:color="auto"/>
        <w:right w:val="none" w:sz="0" w:space="0" w:color="auto"/>
      </w:divBdr>
      <w:divsChild>
        <w:div w:id="617689464">
          <w:marLeft w:val="432"/>
          <w:marRight w:val="0"/>
          <w:marTop w:val="240"/>
          <w:marBottom w:val="0"/>
          <w:divBdr>
            <w:top w:val="none" w:sz="0" w:space="0" w:color="auto"/>
            <w:left w:val="none" w:sz="0" w:space="0" w:color="auto"/>
            <w:bottom w:val="none" w:sz="0" w:space="0" w:color="auto"/>
            <w:right w:val="none" w:sz="0" w:space="0" w:color="auto"/>
          </w:divBdr>
        </w:div>
      </w:divsChild>
    </w:div>
    <w:div w:id="1815946993">
      <w:bodyDiv w:val="1"/>
      <w:marLeft w:val="0"/>
      <w:marRight w:val="0"/>
      <w:marTop w:val="0"/>
      <w:marBottom w:val="0"/>
      <w:divBdr>
        <w:top w:val="none" w:sz="0" w:space="0" w:color="auto"/>
        <w:left w:val="none" w:sz="0" w:space="0" w:color="auto"/>
        <w:bottom w:val="none" w:sz="0" w:space="0" w:color="auto"/>
        <w:right w:val="none" w:sz="0" w:space="0" w:color="auto"/>
      </w:divBdr>
      <w:divsChild>
        <w:div w:id="647704779">
          <w:marLeft w:val="547"/>
          <w:marRight w:val="0"/>
          <w:marTop w:val="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 w:id="2049718916">
      <w:bodyDiv w:val="1"/>
      <w:marLeft w:val="0"/>
      <w:marRight w:val="0"/>
      <w:marTop w:val="0"/>
      <w:marBottom w:val="0"/>
      <w:divBdr>
        <w:top w:val="none" w:sz="0" w:space="0" w:color="auto"/>
        <w:left w:val="none" w:sz="0" w:space="0" w:color="auto"/>
        <w:bottom w:val="none" w:sz="0" w:space="0" w:color="auto"/>
        <w:right w:val="none" w:sz="0" w:space="0" w:color="auto"/>
      </w:divBdr>
      <w:divsChild>
        <w:div w:id="212546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4.xml><?xml version="1.0" encoding="utf-8"?>
<ds:datastoreItem xmlns:ds="http://schemas.openxmlformats.org/officeDocument/2006/customXml" ds:itemID="{6CB95C72-F760-4F64-BCF3-B5C509478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1234</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7</cp:revision>
  <cp:lastPrinted>2018-11-02T10:25:00Z</cp:lastPrinted>
  <dcterms:created xsi:type="dcterms:W3CDTF">2019-11-08T10:59:00Z</dcterms:created>
  <dcterms:modified xsi:type="dcterms:W3CDTF">2019-11-08T11:40:00Z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